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200" w:vertAnchor="text" w:horzAnchor="margin" w:tblpY="-21"/>
        <w:tblW w:w="100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037"/>
      </w:tblGrid>
      <w:tr w:rsidR="00301FA9" w:rsidRPr="00C90BE1" w14:paraId="0A21517D" w14:textId="77777777" w:rsidTr="00301FA9">
        <w:trPr>
          <w:trHeight w:val="316"/>
        </w:trPr>
        <w:tc>
          <w:tcPr>
            <w:tcW w:w="10037" w:type="dxa"/>
            <w:tcBorders>
              <w:top w:val="single" w:sz="18" w:space="0" w:color="000000" w:themeColor="text1"/>
              <w:left w:val="single" w:sz="18" w:space="0" w:color="auto"/>
              <w:bottom w:val="single" w:sz="12" w:space="0" w:color="auto"/>
              <w:right w:val="single" w:sz="18" w:space="0" w:color="000000" w:themeColor="text1"/>
            </w:tcBorders>
            <w:vAlign w:val="center"/>
            <w:hideMark/>
          </w:tcPr>
          <w:p w14:paraId="1129C2C2" w14:textId="77777777" w:rsidR="00301FA9" w:rsidRPr="00C90BE1" w:rsidRDefault="00301FA9" w:rsidP="00301FA9">
            <w:pPr>
              <w:widowControl w:val="0"/>
              <w:tabs>
                <w:tab w:val="left" w:pos="742"/>
                <w:tab w:val="left" w:pos="1354"/>
              </w:tabs>
              <w:autoSpaceDE w:val="0"/>
              <w:autoSpaceDN w:val="0"/>
              <w:adjustRightInd w:val="0"/>
              <w:jc w:val="center"/>
              <w:rPr>
                <w:rFonts w:ascii="Arial" w:hAnsi="Arial" w:cs="Arial"/>
                <w:b/>
                <w:sz w:val="22"/>
                <w:szCs w:val="22"/>
              </w:rPr>
            </w:pPr>
            <w:r w:rsidRPr="00C90BE1">
              <w:rPr>
                <w:rFonts w:ascii="Arial" w:hAnsi="Arial" w:cs="Arial"/>
                <w:b/>
                <w:bCs/>
                <w:sz w:val="22"/>
                <w:szCs w:val="22"/>
              </w:rPr>
              <w:t>Whistle Blowing Policy and Procedure</w:t>
            </w:r>
          </w:p>
        </w:tc>
      </w:tr>
    </w:tbl>
    <w:p w14:paraId="3A4A205E" w14:textId="77777777" w:rsidR="008B530E" w:rsidRDefault="008B530E" w:rsidP="00571473">
      <w:pPr>
        <w:pStyle w:val="ListParagraph"/>
        <w:numPr>
          <w:ilvl w:val="0"/>
          <w:numId w:val="18"/>
        </w:numPr>
        <w:ind w:left="426"/>
        <w:contextualSpacing w:val="0"/>
        <w:outlineLvl w:val="0"/>
        <w:rPr>
          <w:rFonts w:ascii="Arial" w:hAnsi="Arial" w:cs="Arial"/>
          <w:b/>
          <w:sz w:val="22"/>
          <w:szCs w:val="22"/>
        </w:rPr>
      </w:pPr>
      <w:r w:rsidRPr="003805CC">
        <w:rPr>
          <w:rFonts w:ascii="Arial" w:hAnsi="Arial" w:cs="Arial"/>
          <w:b/>
          <w:sz w:val="22"/>
          <w:szCs w:val="22"/>
        </w:rPr>
        <w:t>Statement</w:t>
      </w:r>
      <w:r w:rsidR="0087747A" w:rsidRPr="003805CC">
        <w:rPr>
          <w:rFonts w:ascii="Arial" w:hAnsi="Arial" w:cs="Arial"/>
          <w:b/>
          <w:sz w:val="22"/>
          <w:szCs w:val="22"/>
        </w:rPr>
        <w:t xml:space="preserve"> </w:t>
      </w:r>
    </w:p>
    <w:p w14:paraId="76D9765E" w14:textId="77777777" w:rsidR="003F4893" w:rsidRPr="003805CC" w:rsidRDefault="003F4893" w:rsidP="00571473">
      <w:pPr>
        <w:pStyle w:val="ListParagraph"/>
        <w:ind w:left="426"/>
        <w:contextualSpacing w:val="0"/>
        <w:outlineLvl w:val="0"/>
        <w:rPr>
          <w:rFonts w:ascii="Arial" w:hAnsi="Arial" w:cs="Arial"/>
          <w:b/>
          <w:sz w:val="22"/>
          <w:szCs w:val="22"/>
        </w:rPr>
      </w:pPr>
    </w:p>
    <w:p w14:paraId="48C88D4A" w14:textId="7B6B8497" w:rsidR="00F143ED" w:rsidRDefault="00291B6A" w:rsidP="00571473">
      <w:pPr>
        <w:rPr>
          <w:rFonts w:ascii="Arial" w:hAnsi="Arial" w:cs="Arial"/>
          <w:sz w:val="22"/>
          <w:szCs w:val="22"/>
        </w:rPr>
      </w:pPr>
      <w:r w:rsidRPr="00291B6A">
        <w:rPr>
          <w:rFonts w:ascii="Arial" w:hAnsi="Arial" w:cs="Arial"/>
          <w:sz w:val="22"/>
          <w:szCs w:val="22"/>
        </w:rPr>
        <w:t xml:space="preserve">TRN </w:t>
      </w:r>
      <w:r>
        <w:rPr>
          <w:rFonts w:ascii="Arial" w:hAnsi="Arial" w:cs="Arial"/>
          <w:sz w:val="22"/>
          <w:szCs w:val="22"/>
        </w:rPr>
        <w:t>(</w:t>
      </w:r>
      <w:r w:rsidRPr="00291B6A">
        <w:rPr>
          <w:rFonts w:ascii="Arial" w:hAnsi="Arial" w:cs="Arial"/>
          <w:sz w:val="22"/>
          <w:szCs w:val="22"/>
        </w:rPr>
        <w:t>Train</w:t>
      </w:r>
      <w:r>
        <w:rPr>
          <w:rFonts w:ascii="Arial" w:hAnsi="Arial" w:cs="Arial"/>
          <w:sz w:val="22"/>
          <w:szCs w:val="22"/>
        </w:rPr>
        <w:t>)</w:t>
      </w:r>
      <w:r w:rsidRPr="00291B6A">
        <w:rPr>
          <w:rFonts w:ascii="Arial" w:hAnsi="Arial" w:cs="Arial"/>
          <w:sz w:val="22"/>
          <w:szCs w:val="22"/>
        </w:rPr>
        <w:t xml:space="preserve"> Ltd, referred to as TRN</w:t>
      </w:r>
      <w:r>
        <w:rPr>
          <w:rFonts w:ascii="Arial" w:hAnsi="Arial" w:cs="Arial"/>
          <w:sz w:val="22"/>
          <w:szCs w:val="22"/>
        </w:rPr>
        <w:t xml:space="preserve">, </w:t>
      </w:r>
      <w:r w:rsidR="00F143ED" w:rsidRPr="003805CC">
        <w:rPr>
          <w:rFonts w:ascii="Arial" w:hAnsi="Arial" w:cs="Arial"/>
          <w:sz w:val="22"/>
          <w:szCs w:val="22"/>
        </w:rPr>
        <w:t xml:space="preserve">recognises that whilst there are rules, </w:t>
      </w:r>
      <w:r w:rsidR="00D627EF" w:rsidRPr="003805CC">
        <w:rPr>
          <w:rFonts w:ascii="Arial" w:hAnsi="Arial" w:cs="Arial"/>
          <w:sz w:val="22"/>
          <w:szCs w:val="22"/>
        </w:rPr>
        <w:t>regulations,</w:t>
      </w:r>
      <w:r w:rsidR="00F143ED" w:rsidRPr="003805CC">
        <w:rPr>
          <w:rFonts w:ascii="Arial" w:hAnsi="Arial" w:cs="Arial"/>
          <w:sz w:val="22"/>
          <w:szCs w:val="22"/>
        </w:rPr>
        <w:t xml:space="preserve"> and procedures in place to ensure good practice takes place, the potential for malpractice exists.  Staff will often be the first to see or suspect any such activities, which may be innocent, or may turn out to be fraudulent, dangerous or some other malpractice. </w:t>
      </w:r>
      <w:r w:rsidR="00D627EF" w:rsidRPr="003805CC">
        <w:rPr>
          <w:rFonts w:ascii="Arial" w:hAnsi="Arial" w:cs="Arial"/>
          <w:sz w:val="22"/>
          <w:szCs w:val="22"/>
        </w:rPr>
        <w:t xml:space="preserve"> Therefore,</w:t>
      </w:r>
      <w:r w:rsidR="00F143ED" w:rsidRPr="003805CC">
        <w:rPr>
          <w:rFonts w:ascii="Arial" w:hAnsi="Arial" w:cs="Arial"/>
          <w:sz w:val="22"/>
          <w:szCs w:val="22"/>
        </w:rPr>
        <w:t xml:space="preserve"> it is important that a procedure exists which is available to all staff should they have any </w:t>
      </w:r>
      <w:r w:rsidR="00EE72A6">
        <w:rPr>
          <w:rFonts w:ascii="Arial" w:hAnsi="Arial" w:cs="Arial"/>
          <w:sz w:val="22"/>
          <w:szCs w:val="22"/>
        </w:rPr>
        <w:t>such concerns to report.</w:t>
      </w:r>
    </w:p>
    <w:p w14:paraId="2B7AE756" w14:textId="77777777" w:rsidR="003805CC" w:rsidRPr="003805CC" w:rsidRDefault="003805CC" w:rsidP="00571473">
      <w:pPr>
        <w:rPr>
          <w:rFonts w:ascii="Arial" w:hAnsi="Arial" w:cs="Arial"/>
          <w:sz w:val="22"/>
          <w:szCs w:val="22"/>
        </w:rPr>
      </w:pPr>
    </w:p>
    <w:p w14:paraId="50E1333D" w14:textId="77777777" w:rsidR="008B530E" w:rsidRPr="003805CC" w:rsidRDefault="008B530E" w:rsidP="00571473">
      <w:pPr>
        <w:ind w:left="720" w:hanging="720"/>
        <w:outlineLvl w:val="0"/>
        <w:rPr>
          <w:rFonts w:ascii="Arial" w:hAnsi="Arial" w:cs="Arial"/>
          <w:b/>
          <w:sz w:val="22"/>
          <w:szCs w:val="22"/>
        </w:rPr>
      </w:pPr>
    </w:p>
    <w:p w14:paraId="6A777F74" w14:textId="77777777" w:rsidR="00A31C13" w:rsidRDefault="00A31C13" w:rsidP="00571473">
      <w:pPr>
        <w:pStyle w:val="ListParagraph"/>
        <w:numPr>
          <w:ilvl w:val="0"/>
          <w:numId w:val="18"/>
        </w:numPr>
        <w:ind w:left="426"/>
        <w:contextualSpacing w:val="0"/>
        <w:outlineLvl w:val="0"/>
        <w:rPr>
          <w:rFonts w:ascii="Arial" w:hAnsi="Arial" w:cs="Arial"/>
          <w:b/>
          <w:sz w:val="22"/>
          <w:szCs w:val="22"/>
        </w:rPr>
      </w:pPr>
      <w:r w:rsidRPr="003805CC">
        <w:rPr>
          <w:rFonts w:ascii="Arial" w:hAnsi="Arial" w:cs="Arial"/>
          <w:b/>
          <w:sz w:val="22"/>
          <w:szCs w:val="22"/>
        </w:rPr>
        <w:t>Introduction</w:t>
      </w:r>
    </w:p>
    <w:p w14:paraId="0F9EE0CC" w14:textId="77777777" w:rsidR="003F4893" w:rsidRPr="003805CC" w:rsidRDefault="003F4893" w:rsidP="00571473">
      <w:pPr>
        <w:pStyle w:val="ListParagraph"/>
        <w:ind w:left="426"/>
        <w:contextualSpacing w:val="0"/>
        <w:outlineLvl w:val="0"/>
        <w:rPr>
          <w:rFonts w:ascii="Arial" w:hAnsi="Arial" w:cs="Arial"/>
          <w:b/>
          <w:sz w:val="22"/>
          <w:szCs w:val="22"/>
        </w:rPr>
      </w:pPr>
    </w:p>
    <w:p w14:paraId="05616C3F" w14:textId="77777777" w:rsidR="00AF0419" w:rsidRPr="003805CC" w:rsidRDefault="00A90670" w:rsidP="00571473">
      <w:pPr>
        <w:shd w:val="clear" w:color="auto" w:fill="FFFFFF"/>
        <w:rPr>
          <w:rFonts w:ascii="Arial" w:hAnsi="Arial" w:cs="Arial"/>
          <w:sz w:val="22"/>
          <w:szCs w:val="22"/>
          <w:lang w:eastAsia="en-GB"/>
        </w:rPr>
      </w:pPr>
      <w:r w:rsidRPr="003805CC">
        <w:rPr>
          <w:rFonts w:ascii="Arial" w:hAnsi="Arial" w:cs="Arial"/>
          <w:sz w:val="22"/>
          <w:szCs w:val="22"/>
          <w:lang w:eastAsia="en-GB"/>
        </w:rPr>
        <w:t>This p</w:t>
      </w:r>
      <w:r w:rsidR="00AF0419" w:rsidRPr="003805CC">
        <w:rPr>
          <w:rFonts w:ascii="Arial" w:hAnsi="Arial" w:cs="Arial"/>
          <w:sz w:val="22"/>
          <w:szCs w:val="22"/>
          <w:lang w:eastAsia="en-GB"/>
        </w:rPr>
        <w:t>olicy</w:t>
      </w:r>
      <w:r w:rsidRPr="003805CC">
        <w:rPr>
          <w:rFonts w:ascii="Arial" w:hAnsi="Arial" w:cs="Arial"/>
          <w:sz w:val="22"/>
          <w:szCs w:val="22"/>
          <w:lang w:eastAsia="en-GB"/>
        </w:rPr>
        <w:t xml:space="preserve"> explains how any member of staff</w:t>
      </w:r>
      <w:r w:rsidR="00B90BF4" w:rsidRPr="003805CC">
        <w:rPr>
          <w:rFonts w:ascii="Arial" w:hAnsi="Arial" w:cs="Arial"/>
          <w:sz w:val="22"/>
          <w:szCs w:val="22"/>
          <w:lang w:eastAsia="en-GB"/>
        </w:rPr>
        <w:t>,</w:t>
      </w:r>
      <w:r w:rsidRPr="003805CC">
        <w:rPr>
          <w:rFonts w:ascii="Arial" w:hAnsi="Arial" w:cs="Arial"/>
          <w:sz w:val="22"/>
          <w:szCs w:val="22"/>
          <w:lang w:eastAsia="en-GB"/>
        </w:rPr>
        <w:t xml:space="preserve"> who has a reasonable belief that an incident of malpractice has occurred</w:t>
      </w:r>
      <w:r w:rsidR="00B90BF4" w:rsidRPr="003805CC">
        <w:rPr>
          <w:rFonts w:ascii="Arial" w:hAnsi="Arial" w:cs="Arial"/>
          <w:sz w:val="22"/>
          <w:szCs w:val="22"/>
          <w:lang w:eastAsia="en-GB"/>
        </w:rPr>
        <w:t>,</w:t>
      </w:r>
      <w:r w:rsidRPr="003805CC">
        <w:rPr>
          <w:rFonts w:ascii="Arial" w:hAnsi="Arial" w:cs="Arial"/>
          <w:sz w:val="22"/>
          <w:szCs w:val="22"/>
          <w:lang w:eastAsia="en-GB"/>
        </w:rPr>
        <w:t xml:space="preserve"> may raise a concern under the procedures described in this </w:t>
      </w:r>
      <w:r w:rsidR="00B90BF4" w:rsidRPr="003805CC">
        <w:rPr>
          <w:rFonts w:ascii="Arial" w:hAnsi="Arial" w:cs="Arial"/>
          <w:sz w:val="22"/>
          <w:szCs w:val="22"/>
          <w:lang w:eastAsia="en-GB"/>
        </w:rPr>
        <w:t>policy</w:t>
      </w:r>
      <w:r w:rsidRPr="003805CC">
        <w:rPr>
          <w:rFonts w:ascii="Arial" w:hAnsi="Arial" w:cs="Arial"/>
          <w:sz w:val="22"/>
          <w:szCs w:val="22"/>
          <w:lang w:eastAsia="en-GB"/>
        </w:rPr>
        <w:t xml:space="preserve">. </w:t>
      </w:r>
    </w:p>
    <w:p w14:paraId="05825DF8" w14:textId="77777777" w:rsidR="00AF0419" w:rsidRPr="003805CC" w:rsidRDefault="00AF0419" w:rsidP="00571473">
      <w:pPr>
        <w:shd w:val="clear" w:color="auto" w:fill="FFFFFF"/>
        <w:rPr>
          <w:rFonts w:ascii="Arial" w:hAnsi="Arial" w:cs="Arial"/>
          <w:sz w:val="22"/>
          <w:szCs w:val="22"/>
          <w:lang w:eastAsia="en-GB"/>
        </w:rPr>
      </w:pPr>
    </w:p>
    <w:p w14:paraId="755BA598" w14:textId="12EBA20E" w:rsidR="008851E3" w:rsidRPr="003805CC" w:rsidRDefault="00C71A48" w:rsidP="00571473">
      <w:pPr>
        <w:shd w:val="clear" w:color="auto" w:fill="FFFFFF"/>
        <w:rPr>
          <w:rFonts w:ascii="Arial" w:hAnsi="Arial" w:cs="Arial"/>
          <w:sz w:val="22"/>
          <w:szCs w:val="22"/>
          <w:lang w:eastAsia="en-GB"/>
        </w:rPr>
      </w:pPr>
      <w:r>
        <w:rPr>
          <w:rFonts w:ascii="Arial" w:hAnsi="Arial" w:cs="Arial"/>
          <w:sz w:val="22"/>
          <w:szCs w:val="22"/>
        </w:rPr>
        <w:t>TRN</w:t>
      </w:r>
      <w:r w:rsidR="008851E3" w:rsidRPr="003805CC">
        <w:rPr>
          <w:rFonts w:ascii="Arial" w:hAnsi="Arial" w:cs="Arial"/>
          <w:sz w:val="22"/>
          <w:szCs w:val="22"/>
        </w:rPr>
        <w:t xml:space="preserve"> re</w:t>
      </w:r>
      <w:r w:rsidR="00773FD1" w:rsidRPr="003805CC">
        <w:rPr>
          <w:rFonts w:ascii="Arial" w:hAnsi="Arial" w:cs="Arial"/>
          <w:sz w:val="22"/>
          <w:szCs w:val="22"/>
        </w:rPr>
        <w:t>alise</w:t>
      </w:r>
      <w:r w:rsidR="008851E3" w:rsidRPr="003805CC">
        <w:rPr>
          <w:rFonts w:ascii="Arial" w:hAnsi="Arial" w:cs="Arial"/>
          <w:sz w:val="22"/>
          <w:szCs w:val="22"/>
        </w:rPr>
        <w:t xml:space="preserve"> that staff may be worried about raising </w:t>
      </w:r>
      <w:r w:rsidR="00773FD1" w:rsidRPr="003805CC">
        <w:rPr>
          <w:rFonts w:ascii="Arial" w:hAnsi="Arial" w:cs="Arial"/>
          <w:sz w:val="22"/>
          <w:szCs w:val="22"/>
        </w:rPr>
        <w:t xml:space="preserve">any </w:t>
      </w:r>
      <w:r w:rsidR="008851E3" w:rsidRPr="003805CC">
        <w:rPr>
          <w:rFonts w:ascii="Arial" w:hAnsi="Arial" w:cs="Arial"/>
          <w:sz w:val="22"/>
          <w:szCs w:val="22"/>
        </w:rPr>
        <w:t>such concern</w:t>
      </w:r>
      <w:r w:rsidR="00773FD1" w:rsidRPr="003805CC">
        <w:rPr>
          <w:rFonts w:ascii="Arial" w:hAnsi="Arial" w:cs="Arial"/>
          <w:sz w:val="22"/>
          <w:szCs w:val="22"/>
        </w:rPr>
        <w:t>s</w:t>
      </w:r>
      <w:r w:rsidR="008851E3" w:rsidRPr="003805CC">
        <w:rPr>
          <w:rFonts w:ascii="Arial" w:hAnsi="Arial" w:cs="Arial"/>
          <w:sz w:val="22"/>
          <w:szCs w:val="22"/>
        </w:rPr>
        <w:t xml:space="preserve"> and may think it best to keep it to themselves</w:t>
      </w:r>
      <w:r w:rsidR="00773FD1" w:rsidRPr="003805CC">
        <w:rPr>
          <w:rFonts w:ascii="Arial" w:hAnsi="Arial" w:cs="Arial"/>
          <w:sz w:val="22"/>
          <w:szCs w:val="22"/>
        </w:rPr>
        <w:t>,</w:t>
      </w:r>
      <w:r w:rsidR="008851E3" w:rsidRPr="003805CC">
        <w:rPr>
          <w:rFonts w:ascii="Arial" w:hAnsi="Arial" w:cs="Arial"/>
          <w:sz w:val="22"/>
          <w:szCs w:val="22"/>
        </w:rPr>
        <w:t xml:space="preserve"> perhaps feeling it’s none of their business</w:t>
      </w:r>
      <w:r w:rsidR="00773FD1" w:rsidRPr="003805CC">
        <w:rPr>
          <w:rFonts w:ascii="Arial" w:hAnsi="Arial" w:cs="Arial"/>
          <w:sz w:val="22"/>
          <w:szCs w:val="22"/>
        </w:rPr>
        <w:t xml:space="preserve">, </w:t>
      </w:r>
      <w:r w:rsidR="008851E3" w:rsidRPr="003805CC">
        <w:rPr>
          <w:rFonts w:ascii="Arial" w:hAnsi="Arial" w:cs="Arial"/>
          <w:sz w:val="22"/>
          <w:szCs w:val="22"/>
        </w:rPr>
        <w:t>that it’s only a suspicion</w:t>
      </w:r>
      <w:r w:rsidR="00773FD1" w:rsidRPr="003805CC">
        <w:rPr>
          <w:rFonts w:ascii="Arial" w:hAnsi="Arial" w:cs="Arial"/>
          <w:sz w:val="22"/>
          <w:szCs w:val="22"/>
        </w:rPr>
        <w:t>,</w:t>
      </w:r>
      <w:r w:rsidR="008851E3" w:rsidRPr="003805CC">
        <w:rPr>
          <w:rFonts w:ascii="Arial" w:hAnsi="Arial" w:cs="Arial"/>
          <w:sz w:val="22"/>
          <w:szCs w:val="22"/>
        </w:rPr>
        <w:t xml:space="preserve"> </w:t>
      </w:r>
      <w:r w:rsidR="00773FD1" w:rsidRPr="003805CC">
        <w:rPr>
          <w:rFonts w:ascii="Arial" w:hAnsi="Arial" w:cs="Arial"/>
          <w:sz w:val="22"/>
          <w:szCs w:val="22"/>
        </w:rPr>
        <w:t xml:space="preserve">or </w:t>
      </w:r>
      <w:r w:rsidR="008851E3" w:rsidRPr="003805CC">
        <w:rPr>
          <w:rFonts w:ascii="Arial" w:hAnsi="Arial" w:cs="Arial"/>
          <w:sz w:val="22"/>
          <w:szCs w:val="22"/>
        </w:rPr>
        <w:t xml:space="preserve">that </w:t>
      </w:r>
      <w:r w:rsidR="00773FD1" w:rsidRPr="003805CC">
        <w:rPr>
          <w:rFonts w:ascii="Arial" w:hAnsi="Arial" w:cs="Arial"/>
          <w:sz w:val="22"/>
          <w:szCs w:val="22"/>
        </w:rPr>
        <w:t xml:space="preserve">by </w:t>
      </w:r>
      <w:r w:rsidR="008851E3" w:rsidRPr="003805CC">
        <w:rPr>
          <w:rFonts w:ascii="Arial" w:hAnsi="Arial" w:cs="Arial"/>
          <w:sz w:val="22"/>
          <w:szCs w:val="22"/>
        </w:rPr>
        <w:t xml:space="preserve">raising the matter </w:t>
      </w:r>
      <w:r w:rsidR="00773FD1" w:rsidRPr="003805CC">
        <w:rPr>
          <w:rFonts w:ascii="Arial" w:hAnsi="Arial" w:cs="Arial"/>
          <w:sz w:val="22"/>
          <w:szCs w:val="22"/>
        </w:rPr>
        <w:t xml:space="preserve">they </w:t>
      </w:r>
      <w:r w:rsidR="008851E3" w:rsidRPr="003805CC">
        <w:rPr>
          <w:rFonts w:ascii="Arial" w:hAnsi="Arial" w:cs="Arial"/>
          <w:sz w:val="22"/>
          <w:szCs w:val="22"/>
        </w:rPr>
        <w:t xml:space="preserve">would be </w:t>
      </w:r>
      <w:r w:rsidR="00773FD1" w:rsidRPr="003805CC">
        <w:rPr>
          <w:rFonts w:ascii="Arial" w:hAnsi="Arial" w:cs="Arial"/>
          <w:sz w:val="22"/>
          <w:szCs w:val="22"/>
        </w:rPr>
        <w:t xml:space="preserve">being </w:t>
      </w:r>
      <w:r w:rsidR="008851E3" w:rsidRPr="003805CC">
        <w:rPr>
          <w:rFonts w:ascii="Arial" w:hAnsi="Arial" w:cs="Arial"/>
          <w:sz w:val="22"/>
          <w:szCs w:val="22"/>
        </w:rPr>
        <w:t>disloyal to colleagues, managers or to the organisation</w:t>
      </w:r>
      <w:r w:rsidR="00AF0419" w:rsidRPr="003805CC">
        <w:rPr>
          <w:rFonts w:ascii="Arial" w:hAnsi="Arial" w:cs="Arial"/>
          <w:sz w:val="22"/>
          <w:szCs w:val="22"/>
        </w:rPr>
        <w:t xml:space="preserve">. However, </w:t>
      </w:r>
      <w:r w:rsidR="00773FD1" w:rsidRPr="003805CC">
        <w:rPr>
          <w:rFonts w:ascii="Arial" w:hAnsi="Arial" w:cs="Arial"/>
          <w:sz w:val="22"/>
          <w:szCs w:val="22"/>
        </w:rPr>
        <w:t>staff</w:t>
      </w:r>
      <w:r w:rsidR="008851E3" w:rsidRPr="003805CC">
        <w:rPr>
          <w:rFonts w:ascii="Arial" w:hAnsi="Arial" w:cs="Arial"/>
          <w:sz w:val="22"/>
          <w:szCs w:val="22"/>
        </w:rPr>
        <w:t xml:space="preserve"> </w:t>
      </w:r>
      <w:r w:rsidR="00AF0419" w:rsidRPr="003805CC">
        <w:rPr>
          <w:rFonts w:ascii="Arial" w:hAnsi="Arial" w:cs="Arial"/>
          <w:sz w:val="22"/>
          <w:szCs w:val="22"/>
        </w:rPr>
        <w:t xml:space="preserve">should be assured </w:t>
      </w:r>
      <w:r w:rsidR="008851E3" w:rsidRPr="003805CC">
        <w:rPr>
          <w:rFonts w:ascii="Arial" w:hAnsi="Arial" w:cs="Arial"/>
          <w:sz w:val="22"/>
          <w:szCs w:val="22"/>
        </w:rPr>
        <w:t>that it is safe and acceptable to speak up and raise any concern</w:t>
      </w:r>
      <w:r w:rsidR="00773FD1" w:rsidRPr="003805CC">
        <w:rPr>
          <w:rFonts w:ascii="Arial" w:hAnsi="Arial" w:cs="Arial"/>
          <w:sz w:val="22"/>
          <w:szCs w:val="22"/>
        </w:rPr>
        <w:t>s</w:t>
      </w:r>
      <w:r w:rsidR="008851E3" w:rsidRPr="003805CC">
        <w:rPr>
          <w:rFonts w:ascii="Arial" w:hAnsi="Arial" w:cs="Arial"/>
          <w:sz w:val="22"/>
          <w:szCs w:val="22"/>
        </w:rPr>
        <w:t xml:space="preserve"> </w:t>
      </w:r>
      <w:r w:rsidR="00773FD1" w:rsidRPr="003805CC">
        <w:rPr>
          <w:rFonts w:ascii="Arial" w:hAnsi="Arial" w:cs="Arial"/>
          <w:sz w:val="22"/>
          <w:szCs w:val="22"/>
        </w:rPr>
        <w:t>they</w:t>
      </w:r>
      <w:r w:rsidR="008851E3" w:rsidRPr="003805CC">
        <w:rPr>
          <w:rFonts w:ascii="Arial" w:hAnsi="Arial" w:cs="Arial"/>
          <w:sz w:val="22"/>
          <w:szCs w:val="22"/>
        </w:rPr>
        <w:t xml:space="preserve"> may have </w:t>
      </w:r>
      <w:r w:rsidR="00AF0419" w:rsidRPr="003805CC">
        <w:rPr>
          <w:rFonts w:ascii="Arial" w:hAnsi="Arial" w:cs="Arial"/>
          <w:sz w:val="22"/>
          <w:szCs w:val="22"/>
        </w:rPr>
        <w:t xml:space="preserve">at </w:t>
      </w:r>
      <w:r w:rsidR="008851E3" w:rsidRPr="003805CC">
        <w:rPr>
          <w:rFonts w:ascii="Arial" w:hAnsi="Arial" w:cs="Arial"/>
          <w:sz w:val="22"/>
          <w:szCs w:val="22"/>
        </w:rPr>
        <w:t xml:space="preserve">an early stage and in the right way. Rather than wait for </w:t>
      </w:r>
      <w:r w:rsidR="00773FD1" w:rsidRPr="003805CC">
        <w:rPr>
          <w:rFonts w:ascii="Arial" w:hAnsi="Arial" w:cs="Arial"/>
          <w:sz w:val="22"/>
          <w:szCs w:val="22"/>
        </w:rPr>
        <w:t>evidence</w:t>
      </w:r>
      <w:r w:rsidR="008851E3" w:rsidRPr="003805CC">
        <w:rPr>
          <w:rFonts w:ascii="Arial" w:hAnsi="Arial" w:cs="Arial"/>
          <w:sz w:val="22"/>
          <w:szCs w:val="22"/>
        </w:rPr>
        <w:t xml:space="preserve">, </w:t>
      </w:r>
      <w:r w:rsidR="00676BC3">
        <w:rPr>
          <w:rFonts w:ascii="Arial" w:hAnsi="Arial" w:cs="Arial"/>
          <w:sz w:val="22"/>
          <w:szCs w:val="22"/>
        </w:rPr>
        <w:t xml:space="preserve">TRN </w:t>
      </w:r>
      <w:r w:rsidR="008851E3" w:rsidRPr="003805CC">
        <w:rPr>
          <w:rFonts w:ascii="Arial" w:hAnsi="Arial" w:cs="Arial"/>
          <w:sz w:val="22"/>
          <w:szCs w:val="22"/>
        </w:rPr>
        <w:t xml:space="preserve">would prefer </w:t>
      </w:r>
      <w:r w:rsidR="00773FD1" w:rsidRPr="003805CC">
        <w:rPr>
          <w:rFonts w:ascii="Arial" w:hAnsi="Arial" w:cs="Arial"/>
          <w:sz w:val="22"/>
          <w:szCs w:val="22"/>
        </w:rPr>
        <w:t>that staff</w:t>
      </w:r>
      <w:r w:rsidR="008851E3" w:rsidRPr="003805CC">
        <w:rPr>
          <w:rFonts w:ascii="Arial" w:hAnsi="Arial" w:cs="Arial"/>
          <w:sz w:val="22"/>
          <w:szCs w:val="22"/>
        </w:rPr>
        <w:t xml:space="preserve"> raise the matter wh</w:t>
      </w:r>
      <w:r w:rsidR="00BA0FA0" w:rsidRPr="003805CC">
        <w:rPr>
          <w:rFonts w:ascii="Arial" w:hAnsi="Arial" w:cs="Arial"/>
          <w:sz w:val="22"/>
          <w:szCs w:val="22"/>
        </w:rPr>
        <w:t>ile</w:t>
      </w:r>
      <w:r w:rsidR="008851E3" w:rsidRPr="003805CC">
        <w:rPr>
          <w:rFonts w:ascii="Arial" w:hAnsi="Arial" w:cs="Arial"/>
          <w:sz w:val="22"/>
          <w:szCs w:val="22"/>
        </w:rPr>
        <w:t xml:space="preserve"> it is still </w:t>
      </w:r>
      <w:r w:rsidR="00AF0419" w:rsidRPr="003805CC">
        <w:rPr>
          <w:rFonts w:ascii="Arial" w:hAnsi="Arial" w:cs="Arial"/>
          <w:sz w:val="22"/>
          <w:szCs w:val="22"/>
        </w:rPr>
        <w:t xml:space="preserve">only </w:t>
      </w:r>
      <w:r w:rsidR="008851E3" w:rsidRPr="003805CC">
        <w:rPr>
          <w:rFonts w:ascii="Arial" w:hAnsi="Arial" w:cs="Arial"/>
          <w:sz w:val="22"/>
          <w:szCs w:val="22"/>
        </w:rPr>
        <w:t>a concern.</w:t>
      </w:r>
    </w:p>
    <w:p w14:paraId="57ECA264" w14:textId="77777777" w:rsidR="00AF0419" w:rsidRPr="003805CC" w:rsidRDefault="00AF0419" w:rsidP="00571473">
      <w:pPr>
        <w:shd w:val="clear" w:color="auto" w:fill="FFFFFF"/>
        <w:rPr>
          <w:rFonts w:ascii="Arial" w:hAnsi="Arial" w:cs="Arial"/>
          <w:sz w:val="22"/>
          <w:szCs w:val="22"/>
        </w:rPr>
      </w:pPr>
    </w:p>
    <w:p w14:paraId="2C1EBF01" w14:textId="77777777" w:rsidR="00AF0419" w:rsidRDefault="00AF0419" w:rsidP="00571473">
      <w:pPr>
        <w:shd w:val="clear" w:color="auto" w:fill="FFFFFF"/>
        <w:rPr>
          <w:rFonts w:ascii="Arial" w:hAnsi="Arial" w:cs="Arial"/>
          <w:sz w:val="22"/>
          <w:szCs w:val="22"/>
          <w:lang w:eastAsia="en-GB"/>
        </w:rPr>
      </w:pPr>
      <w:r w:rsidRPr="003805CC">
        <w:rPr>
          <w:rFonts w:ascii="Arial" w:hAnsi="Arial" w:cs="Arial"/>
          <w:sz w:val="22"/>
          <w:szCs w:val="22"/>
          <w:lang w:eastAsia="en-GB"/>
        </w:rPr>
        <w:t>There is also information about the rights of staff to raise the matter externally if they are not satisfied with the Company's response and the protection afforded to them if they choose to do this after the internal procedures have been exhausted.</w:t>
      </w:r>
    </w:p>
    <w:p w14:paraId="250988EA" w14:textId="77777777" w:rsidR="003805CC" w:rsidRPr="003805CC" w:rsidRDefault="003805CC" w:rsidP="00571473">
      <w:pPr>
        <w:shd w:val="clear" w:color="auto" w:fill="FFFFFF"/>
        <w:rPr>
          <w:rFonts w:ascii="Arial" w:hAnsi="Arial" w:cs="Arial"/>
          <w:sz w:val="22"/>
          <w:szCs w:val="22"/>
          <w:lang w:eastAsia="en-GB"/>
        </w:rPr>
      </w:pPr>
    </w:p>
    <w:p w14:paraId="329259B0" w14:textId="77777777" w:rsidR="00A31C13" w:rsidRPr="003805CC" w:rsidRDefault="00A31C13" w:rsidP="00571473">
      <w:pPr>
        <w:ind w:left="720" w:hanging="720"/>
        <w:outlineLvl w:val="0"/>
        <w:rPr>
          <w:rFonts w:ascii="Arial" w:hAnsi="Arial" w:cs="Arial"/>
          <w:b/>
          <w:sz w:val="22"/>
          <w:szCs w:val="22"/>
        </w:rPr>
      </w:pPr>
    </w:p>
    <w:p w14:paraId="338783FD" w14:textId="77777777" w:rsidR="008B530E" w:rsidRDefault="008B530E" w:rsidP="00571473">
      <w:pPr>
        <w:pStyle w:val="NormalWeb"/>
        <w:numPr>
          <w:ilvl w:val="0"/>
          <w:numId w:val="18"/>
        </w:numPr>
        <w:spacing w:before="0" w:beforeAutospacing="0" w:after="0" w:afterAutospacing="0"/>
        <w:ind w:left="426"/>
        <w:rPr>
          <w:rFonts w:ascii="Arial" w:hAnsi="Arial" w:cs="Arial"/>
          <w:b/>
          <w:color w:val="auto"/>
          <w:sz w:val="22"/>
          <w:szCs w:val="22"/>
        </w:rPr>
      </w:pPr>
      <w:r w:rsidRPr="003805CC">
        <w:rPr>
          <w:rFonts w:ascii="Arial" w:hAnsi="Arial" w:cs="Arial"/>
          <w:b/>
          <w:color w:val="auto"/>
          <w:sz w:val="22"/>
          <w:szCs w:val="22"/>
        </w:rPr>
        <w:t>Scope</w:t>
      </w:r>
    </w:p>
    <w:p w14:paraId="5D22B445" w14:textId="77777777" w:rsidR="003F4893" w:rsidRPr="003805CC" w:rsidRDefault="003F4893" w:rsidP="00571473">
      <w:pPr>
        <w:pStyle w:val="NormalWeb"/>
        <w:spacing w:before="0" w:beforeAutospacing="0" w:after="0" w:afterAutospacing="0"/>
        <w:ind w:left="426"/>
        <w:rPr>
          <w:rFonts w:ascii="Arial" w:hAnsi="Arial" w:cs="Arial"/>
          <w:b/>
          <w:color w:val="auto"/>
          <w:sz w:val="22"/>
          <w:szCs w:val="22"/>
        </w:rPr>
      </w:pPr>
    </w:p>
    <w:p w14:paraId="70DF4C96" w14:textId="37BF7F53" w:rsidR="00E95827" w:rsidRDefault="00723A60" w:rsidP="00571473">
      <w:pPr>
        <w:pStyle w:val="NormalWeb"/>
        <w:spacing w:before="0" w:beforeAutospacing="0" w:after="0" w:afterAutospacing="0"/>
        <w:rPr>
          <w:rFonts w:ascii="Arial" w:hAnsi="Arial" w:cs="Arial"/>
          <w:color w:val="auto"/>
          <w:sz w:val="22"/>
          <w:szCs w:val="22"/>
          <w:lang w:eastAsia="en-GB"/>
        </w:rPr>
      </w:pPr>
      <w:r w:rsidRPr="003805CC">
        <w:rPr>
          <w:rFonts w:ascii="Arial" w:hAnsi="Arial" w:cs="Arial"/>
          <w:color w:val="auto"/>
          <w:sz w:val="22"/>
          <w:szCs w:val="22"/>
        </w:rPr>
        <w:t>This policy shall apply to all employees, whether permanent or temporary, carrying out work undertaken on behalf</w:t>
      </w:r>
      <w:r w:rsidR="00676BC3">
        <w:rPr>
          <w:rFonts w:ascii="Arial" w:hAnsi="Arial" w:cs="Arial"/>
          <w:color w:val="auto"/>
          <w:sz w:val="22"/>
          <w:szCs w:val="22"/>
        </w:rPr>
        <w:t xml:space="preserve"> of the company</w:t>
      </w:r>
      <w:r w:rsidRPr="003805CC">
        <w:rPr>
          <w:rFonts w:ascii="Arial" w:hAnsi="Arial" w:cs="Arial"/>
          <w:color w:val="auto"/>
          <w:sz w:val="22"/>
          <w:szCs w:val="22"/>
        </w:rPr>
        <w:t>.</w:t>
      </w:r>
      <w:r w:rsidR="00B90BF4" w:rsidRPr="003805CC">
        <w:rPr>
          <w:rFonts w:ascii="Arial" w:hAnsi="Arial" w:cs="Arial"/>
          <w:color w:val="auto"/>
          <w:sz w:val="22"/>
          <w:szCs w:val="22"/>
          <w:lang w:eastAsia="en-GB"/>
        </w:rPr>
        <w:t xml:space="preserve"> The policy does not apply to personal grievances concerning an individual's terms and conditions of employment, or other aspects of the working relationship, complaints of bullying or harassment, or disciplinary matters. Such complaints will be dealt with under existing procedures on grievance</w:t>
      </w:r>
      <w:r w:rsidR="00676BC3">
        <w:rPr>
          <w:rFonts w:ascii="Arial" w:hAnsi="Arial" w:cs="Arial"/>
          <w:color w:val="auto"/>
          <w:sz w:val="22"/>
          <w:szCs w:val="22"/>
          <w:lang w:eastAsia="en-GB"/>
        </w:rPr>
        <w:t xml:space="preserve">s and </w:t>
      </w:r>
      <w:r w:rsidR="00B90BF4" w:rsidRPr="003805CC">
        <w:rPr>
          <w:rFonts w:ascii="Arial" w:hAnsi="Arial" w:cs="Arial"/>
          <w:color w:val="auto"/>
          <w:sz w:val="22"/>
          <w:szCs w:val="22"/>
          <w:lang w:eastAsia="en-GB"/>
        </w:rPr>
        <w:t>conduct management.</w:t>
      </w:r>
    </w:p>
    <w:p w14:paraId="79D63519" w14:textId="77777777" w:rsidR="003805CC" w:rsidRPr="003805CC" w:rsidRDefault="003805CC" w:rsidP="00571473">
      <w:pPr>
        <w:pStyle w:val="NormalWeb"/>
        <w:spacing w:before="0" w:beforeAutospacing="0" w:after="0" w:afterAutospacing="0"/>
        <w:rPr>
          <w:rFonts w:ascii="Arial" w:hAnsi="Arial" w:cs="Arial"/>
          <w:color w:val="auto"/>
          <w:sz w:val="22"/>
          <w:szCs w:val="22"/>
        </w:rPr>
      </w:pPr>
    </w:p>
    <w:p w14:paraId="418A01DD" w14:textId="77777777" w:rsidR="00E95827" w:rsidRPr="003805CC" w:rsidRDefault="00E95827" w:rsidP="00571473">
      <w:pPr>
        <w:pStyle w:val="NormalWeb"/>
        <w:spacing w:before="0" w:beforeAutospacing="0" w:after="0" w:afterAutospacing="0"/>
        <w:rPr>
          <w:rFonts w:ascii="Arial" w:hAnsi="Arial" w:cs="Arial"/>
          <w:color w:val="auto"/>
          <w:sz w:val="22"/>
          <w:szCs w:val="22"/>
        </w:rPr>
      </w:pPr>
    </w:p>
    <w:p w14:paraId="6676605D" w14:textId="77777777" w:rsidR="008B530E" w:rsidRDefault="008B530E" w:rsidP="00571473">
      <w:pPr>
        <w:pStyle w:val="NormalWeb"/>
        <w:numPr>
          <w:ilvl w:val="0"/>
          <w:numId w:val="18"/>
        </w:numPr>
        <w:spacing w:before="0" w:beforeAutospacing="0" w:after="0" w:afterAutospacing="0"/>
        <w:ind w:left="426"/>
        <w:rPr>
          <w:rFonts w:ascii="Arial" w:hAnsi="Arial" w:cs="Arial"/>
          <w:b/>
          <w:color w:val="auto"/>
          <w:sz w:val="22"/>
          <w:szCs w:val="22"/>
        </w:rPr>
      </w:pPr>
      <w:r w:rsidRPr="003805CC">
        <w:rPr>
          <w:rFonts w:ascii="Arial" w:hAnsi="Arial" w:cs="Arial"/>
          <w:b/>
          <w:color w:val="auto"/>
          <w:sz w:val="22"/>
          <w:szCs w:val="22"/>
        </w:rPr>
        <w:t>Purpose</w:t>
      </w:r>
    </w:p>
    <w:p w14:paraId="3590322B" w14:textId="77777777" w:rsidR="003F4893" w:rsidRPr="003805CC" w:rsidRDefault="003F4893" w:rsidP="00571473">
      <w:pPr>
        <w:pStyle w:val="NormalWeb"/>
        <w:spacing w:before="0" w:beforeAutospacing="0" w:after="0" w:afterAutospacing="0"/>
        <w:ind w:left="426"/>
        <w:rPr>
          <w:rFonts w:ascii="Arial" w:hAnsi="Arial" w:cs="Arial"/>
          <w:b/>
          <w:color w:val="auto"/>
          <w:sz w:val="22"/>
          <w:szCs w:val="22"/>
        </w:rPr>
      </w:pPr>
    </w:p>
    <w:p w14:paraId="665BAAE5" w14:textId="2B9A25DA" w:rsidR="00723A60" w:rsidRDefault="00693040" w:rsidP="00571473">
      <w:pPr>
        <w:rPr>
          <w:rFonts w:ascii="Arial" w:hAnsi="Arial" w:cs="Arial"/>
          <w:sz w:val="22"/>
          <w:szCs w:val="22"/>
          <w:lang w:eastAsia="en-GB"/>
        </w:rPr>
      </w:pPr>
      <w:r w:rsidRPr="003805CC">
        <w:rPr>
          <w:rFonts w:ascii="Arial" w:hAnsi="Arial" w:cs="Arial"/>
          <w:sz w:val="22"/>
          <w:szCs w:val="22"/>
        </w:rPr>
        <w:t xml:space="preserve">Certain </w:t>
      </w:r>
      <w:r w:rsidR="00CD71FD" w:rsidRPr="003805CC">
        <w:rPr>
          <w:rFonts w:ascii="Arial" w:hAnsi="Arial" w:cs="Arial"/>
          <w:sz w:val="22"/>
          <w:szCs w:val="22"/>
        </w:rPr>
        <w:t>issues</w:t>
      </w:r>
      <w:r w:rsidRPr="003805CC">
        <w:rPr>
          <w:rFonts w:ascii="Arial" w:hAnsi="Arial" w:cs="Arial"/>
          <w:sz w:val="22"/>
          <w:szCs w:val="22"/>
        </w:rPr>
        <w:t xml:space="preserve"> are prescribed by law as “qualifying disclosures”</w:t>
      </w:r>
      <w:r w:rsidR="00CD71FD" w:rsidRPr="003805CC">
        <w:rPr>
          <w:rFonts w:ascii="Arial" w:hAnsi="Arial" w:cs="Arial"/>
          <w:sz w:val="22"/>
          <w:szCs w:val="22"/>
        </w:rPr>
        <w:t xml:space="preserve">, which are </w:t>
      </w:r>
      <w:r w:rsidRPr="003805CC">
        <w:rPr>
          <w:rFonts w:ascii="Arial" w:hAnsi="Arial" w:cs="Arial"/>
          <w:sz w:val="22"/>
          <w:szCs w:val="22"/>
        </w:rPr>
        <w:t>where it can be shown that a company commits a “relevant failure”</w:t>
      </w:r>
      <w:r w:rsidR="00CD71FD" w:rsidRPr="003805CC">
        <w:rPr>
          <w:rFonts w:ascii="Arial" w:hAnsi="Arial" w:cs="Arial"/>
          <w:sz w:val="22"/>
          <w:szCs w:val="22"/>
        </w:rPr>
        <w:t xml:space="preserve">. </w:t>
      </w:r>
      <w:r w:rsidR="00723A60" w:rsidRPr="003805CC">
        <w:rPr>
          <w:rFonts w:ascii="Arial" w:hAnsi="Arial" w:cs="Arial"/>
          <w:sz w:val="22"/>
          <w:szCs w:val="22"/>
          <w:lang w:eastAsia="en-GB"/>
        </w:rPr>
        <w:t>T</w:t>
      </w:r>
      <w:r w:rsidR="00CD71FD" w:rsidRPr="003805CC">
        <w:rPr>
          <w:rFonts w:ascii="Arial" w:hAnsi="Arial" w:cs="Arial"/>
          <w:sz w:val="22"/>
          <w:szCs w:val="22"/>
          <w:lang w:eastAsia="en-GB"/>
        </w:rPr>
        <w:t>his</w:t>
      </w:r>
      <w:r w:rsidR="00723A60" w:rsidRPr="003805CC">
        <w:rPr>
          <w:rFonts w:ascii="Arial" w:hAnsi="Arial" w:cs="Arial"/>
          <w:sz w:val="22"/>
          <w:szCs w:val="22"/>
          <w:lang w:eastAsia="en-GB"/>
        </w:rPr>
        <w:t xml:space="preserve"> policy is designed to deal with concerns raised in relation to </w:t>
      </w:r>
      <w:r w:rsidR="00CD71FD" w:rsidRPr="003805CC">
        <w:rPr>
          <w:rFonts w:ascii="Arial" w:hAnsi="Arial" w:cs="Arial"/>
          <w:sz w:val="22"/>
          <w:szCs w:val="22"/>
          <w:lang w:eastAsia="en-GB"/>
        </w:rPr>
        <w:t xml:space="preserve">these kinds of </w:t>
      </w:r>
      <w:r w:rsidR="00723A60" w:rsidRPr="003805CC">
        <w:rPr>
          <w:rFonts w:ascii="Arial" w:hAnsi="Arial" w:cs="Arial"/>
          <w:sz w:val="22"/>
          <w:szCs w:val="22"/>
          <w:lang w:eastAsia="en-GB"/>
        </w:rPr>
        <w:t xml:space="preserve">specific issues </w:t>
      </w:r>
      <w:r w:rsidR="00CD71FD" w:rsidRPr="003805CC">
        <w:rPr>
          <w:rFonts w:ascii="Arial" w:hAnsi="Arial" w:cs="Arial"/>
          <w:sz w:val="22"/>
          <w:szCs w:val="22"/>
          <w:lang w:eastAsia="en-GB"/>
        </w:rPr>
        <w:t xml:space="preserve">and </w:t>
      </w:r>
      <w:r w:rsidR="00723A60" w:rsidRPr="003805CC">
        <w:rPr>
          <w:rFonts w:ascii="Arial" w:hAnsi="Arial" w:cs="Arial"/>
          <w:sz w:val="22"/>
          <w:szCs w:val="22"/>
          <w:lang w:eastAsia="en-GB"/>
        </w:rPr>
        <w:t>which include:</w:t>
      </w:r>
    </w:p>
    <w:p w14:paraId="7FA6B036" w14:textId="77777777" w:rsidR="005A1675" w:rsidRPr="003805CC" w:rsidRDefault="005A1675" w:rsidP="00571473">
      <w:pPr>
        <w:rPr>
          <w:rFonts w:ascii="Arial" w:hAnsi="Arial" w:cs="Arial"/>
          <w:sz w:val="22"/>
          <w:szCs w:val="22"/>
          <w:lang w:eastAsia="en-GB"/>
        </w:rPr>
      </w:pPr>
    </w:p>
    <w:p w14:paraId="65B80E99" w14:textId="77777777" w:rsidR="00723A60" w:rsidRPr="003805CC" w:rsidRDefault="00723A60" w:rsidP="00571473">
      <w:pPr>
        <w:numPr>
          <w:ilvl w:val="0"/>
          <w:numId w:val="21"/>
        </w:numPr>
        <w:shd w:val="clear" w:color="auto" w:fill="FFFFFF"/>
        <w:rPr>
          <w:rFonts w:ascii="Arial" w:hAnsi="Arial" w:cs="Arial"/>
          <w:sz w:val="22"/>
          <w:szCs w:val="22"/>
          <w:lang w:eastAsia="en-GB"/>
        </w:rPr>
      </w:pPr>
      <w:r w:rsidRPr="003805CC">
        <w:rPr>
          <w:rFonts w:ascii="Arial" w:hAnsi="Arial" w:cs="Arial"/>
          <w:sz w:val="22"/>
          <w:szCs w:val="22"/>
          <w:lang w:eastAsia="en-GB"/>
        </w:rPr>
        <w:t>a criminal offence</w:t>
      </w:r>
    </w:p>
    <w:p w14:paraId="6114E3A3" w14:textId="77777777" w:rsidR="00723A60" w:rsidRDefault="00723A60" w:rsidP="00571473">
      <w:pPr>
        <w:numPr>
          <w:ilvl w:val="0"/>
          <w:numId w:val="21"/>
        </w:numPr>
        <w:shd w:val="clear" w:color="auto" w:fill="FFFFFF"/>
        <w:rPr>
          <w:rFonts w:ascii="Arial" w:hAnsi="Arial" w:cs="Arial"/>
          <w:sz w:val="22"/>
          <w:szCs w:val="22"/>
          <w:lang w:eastAsia="en-GB"/>
        </w:rPr>
      </w:pPr>
      <w:r w:rsidRPr="003805CC">
        <w:rPr>
          <w:rFonts w:ascii="Arial" w:hAnsi="Arial" w:cs="Arial"/>
          <w:sz w:val="22"/>
          <w:szCs w:val="22"/>
          <w:lang w:eastAsia="en-GB"/>
        </w:rPr>
        <w:t xml:space="preserve">failure to comply with legal obligations </w:t>
      </w:r>
    </w:p>
    <w:p w14:paraId="052106F3" w14:textId="77777777" w:rsidR="006D09CB" w:rsidRPr="006D09CB" w:rsidRDefault="006D09CB" w:rsidP="00571473">
      <w:pPr>
        <w:numPr>
          <w:ilvl w:val="0"/>
          <w:numId w:val="21"/>
        </w:numPr>
        <w:shd w:val="clear" w:color="auto" w:fill="FFFFFF"/>
        <w:rPr>
          <w:rFonts w:ascii="Arial" w:hAnsi="Arial" w:cs="Arial"/>
          <w:sz w:val="22"/>
          <w:szCs w:val="22"/>
          <w:lang w:eastAsia="en-GB"/>
        </w:rPr>
      </w:pPr>
      <w:r w:rsidRPr="006D09CB">
        <w:rPr>
          <w:rFonts w:ascii="Arial" w:hAnsi="Arial" w:cs="Arial"/>
          <w:sz w:val="22"/>
          <w:szCs w:val="22"/>
          <w:lang w:eastAsia="en-GB"/>
        </w:rPr>
        <w:t>a miscarriage of justice</w:t>
      </w:r>
    </w:p>
    <w:p w14:paraId="796DDF2B" w14:textId="73741EA0" w:rsidR="00723A60" w:rsidRPr="003805CC" w:rsidRDefault="00723A60" w:rsidP="00571473">
      <w:pPr>
        <w:numPr>
          <w:ilvl w:val="0"/>
          <w:numId w:val="21"/>
        </w:numPr>
        <w:shd w:val="clear" w:color="auto" w:fill="FFFFFF"/>
        <w:rPr>
          <w:rFonts w:ascii="Arial" w:hAnsi="Arial" w:cs="Arial"/>
          <w:sz w:val="22"/>
          <w:szCs w:val="22"/>
          <w:lang w:eastAsia="en-GB"/>
        </w:rPr>
      </w:pPr>
      <w:r w:rsidRPr="003805CC">
        <w:rPr>
          <w:rFonts w:ascii="Arial" w:hAnsi="Arial" w:cs="Arial"/>
          <w:sz w:val="22"/>
          <w:szCs w:val="22"/>
          <w:lang w:eastAsia="en-GB"/>
        </w:rPr>
        <w:t>maladministration</w:t>
      </w:r>
    </w:p>
    <w:p w14:paraId="07177799" w14:textId="7075D4DD" w:rsidR="00723A60" w:rsidRPr="003805CC" w:rsidRDefault="00723A60" w:rsidP="00571473">
      <w:pPr>
        <w:numPr>
          <w:ilvl w:val="0"/>
          <w:numId w:val="21"/>
        </w:numPr>
        <w:shd w:val="clear" w:color="auto" w:fill="FFFFFF"/>
        <w:rPr>
          <w:rFonts w:ascii="Arial" w:hAnsi="Arial" w:cs="Arial"/>
          <w:sz w:val="22"/>
          <w:szCs w:val="22"/>
          <w:lang w:eastAsia="en-GB"/>
        </w:rPr>
      </w:pPr>
      <w:r w:rsidRPr="003805CC">
        <w:rPr>
          <w:rFonts w:ascii="Arial" w:hAnsi="Arial" w:cs="Arial"/>
          <w:sz w:val="22"/>
          <w:szCs w:val="22"/>
          <w:lang w:eastAsia="en-GB"/>
        </w:rPr>
        <w:t>malpractice</w:t>
      </w:r>
    </w:p>
    <w:p w14:paraId="2A53EF8A" w14:textId="2A3FE661" w:rsidR="00723A60" w:rsidRPr="003805CC" w:rsidRDefault="000507FC" w:rsidP="00571473">
      <w:pPr>
        <w:numPr>
          <w:ilvl w:val="0"/>
          <w:numId w:val="21"/>
        </w:numPr>
        <w:shd w:val="clear" w:color="auto" w:fill="FFFFFF"/>
        <w:rPr>
          <w:rFonts w:ascii="Arial" w:hAnsi="Arial" w:cs="Arial"/>
          <w:sz w:val="22"/>
          <w:szCs w:val="22"/>
          <w:lang w:eastAsia="en-GB"/>
        </w:rPr>
      </w:pPr>
      <w:r>
        <w:rPr>
          <w:rFonts w:ascii="Arial" w:hAnsi="Arial" w:cs="Arial"/>
          <w:sz w:val="22"/>
          <w:szCs w:val="22"/>
          <w:lang w:eastAsia="en-GB"/>
        </w:rPr>
        <w:t xml:space="preserve">danger </w:t>
      </w:r>
      <w:r w:rsidR="00723A60" w:rsidRPr="003805CC">
        <w:rPr>
          <w:rFonts w:ascii="Arial" w:hAnsi="Arial" w:cs="Arial"/>
          <w:sz w:val="22"/>
          <w:szCs w:val="22"/>
          <w:lang w:eastAsia="en-GB"/>
        </w:rPr>
        <w:t>to the health or safety of any individual</w:t>
      </w:r>
    </w:p>
    <w:p w14:paraId="71195B7E" w14:textId="77777777" w:rsidR="00723A60" w:rsidRPr="003805CC" w:rsidRDefault="00723A60" w:rsidP="00571473">
      <w:pPr>
        <w:numPr>
          <w:ilvl w:val="0"/>
          <w:numId w:val="21"/>
        </w:numPr>
        <w:shd w:val="clear" w:color="auto" w:fill="FFFFFF"/>
        <w:rPr>
          <w:rFonts w:ascii="Arial" w:hAnsi="Arial" w:cs="Arial"/>
          <w:sz w:val="22"/>
          <w:szCs w:val="22"/>
          <w:lang w:eastAsia="en-GB"/>
        </w:rPr>
      </w:pPr>
      <w:r w:rsidRPr="003805CC">
        <w:rPr>
          <w:rFonts w:ascii="Arial" w:hAnsi="Arial" w:cs="Arial"/>
          <w:sz w:val="22"/>
          <w:szCs w:val="22"/>
          <w:lang w:eastAsia="en-GB"/>
        </w:rPr>
        <w:t>environmental damage</w:t>
      </w:r>
    </w:p>
    <w:p w14:paraId="74D7F338" w14:textId="77777777" w:rsidR="00723A60" w:rsidRPr="003805CC" w:rsidRDefault="00723A60" w:rsidP="00571473">
      <w:pPr>
        <w:numPr>
          <w:ilvl w:val="0"/>
          <w:numId w:val="21"/>
        </w:numPr>
        <w:shd w:val="clear" w:color="auto" w:fill="FFFFFF"/>
        <w:rPr>
          <w:rFonts w:ascii="Arial" w:hAnsi="Arial" w:cs="Arial"/>
          <w:sz w:val="22"/>
          <w:szCs w:val="22"/>
          <w:lang w:eastAsia="en-GB"/>
        </w:rPr>
      </w:pPr>
      <w:r w:rsidRPr="003805CC">
        <w:rPr>
          <w:rFonts w:ascii="Arial" w:hAnsi="Arial" w:cs="Arial"/>
          <w:sz w:val="22"/>
          <w:szCs w:val="22"/>
          <w:lang w:eastAsia="en-GB"/>
        </w:rPr>
        <w:t>a miscarriage of justice</w:t>
      </w:r>
    </w:p>
    <w:p w14:paraId="1B9AB4B1" w14:textId="77777777" w:rsidR="00723A60" w:rsidRPr="003805CC" w:rsidRDefault="00723A60" w:rsidP="00571473">
      <w:pPr>
        <w:numPr>
          <w:ilvl w:val="0"/>
          <w:numId w:val="21"/>
        </w:numPr>
        <w:shd w:val="clear" w:color="auto" w:fill="FFFFFF"/>
        <w:rPr>
          <w:rFonts w:ascii="Arial" w:hAnsi="Arial" w:cs="Arial"/>
          <w:sz w:val="22"/>
          <w:szCs w:val="22"/>
          <w:lang w:eastAsia="en-GB"/>
        </w:rPr>
      </w:pPr>
      <w:r w:rsidRPr="003805CC">
        <w:rPr>
          <w:rFonts w:ascii="Arial" w:hAnsi="Arial" w:cs="Arial"/>
          <w:sz w:val="22"/>
          <w:szCs w:val="22"/>
          <w:lang w:eastAsia="en-GB"/>
        </w:rPr>
        <w:t>improper conduct or unethical behaviour</w:t>
      </w:r>
    </w:p>
    <w:p w14:paraId="29BFF3D9" w14:textId="78F37287" w:rsidR="003805CC" w:rsidRDefault="00723A60" w:rsidP="00571473">
      <w:pPr>
        <w:numPr>
          <w:ilvl w:val="0"/>
          <w:numId w:val="21"/>
        </w:numPr>
        <w:shd w:val="clear" w:color="auto" w:fill="FFFFFF"/>
        <w:rPr>
          <w:rFonts w:ascii="Arial" w:hAnsi="Arial" w:cs="Arial"/>
          <w:sz w:val="22"/>
          <w:szCs w:val="22"/>
          <w:lang w:eastAsia="en-GB"/>
        </w:rPr>
      </w:pPr>
      <w:r w:rsidRPr="003805CC">
        <w:rPr>
          <w:rFonts w:ascii="Arial" w:hAnsi="Arial" w:cs="Arial"/>
          <w:sz w:val="22"/>
          <w:szCs w:val="22"/>
          <w:lang w:eastAsia="en-GB"/>
        </w:rPr>
        <w:t>attempts to suppress or conceal any information relating to any of the above.</w:t>
      </w:r>
    </w:p>
    <w:p w14:paraId="53AAD4D7" w14:textId="77777777" w:rsidR="005A1675" w:rsidRDefault="005A1675" w:rsidP="00571473">
      <w:pPr>
        <w:shd w:val="clear" w:color="auto" w:fill="FFFFFF"/>
        <w:ind w:left="480"/>
        <w:rPr>
          <w:rFonts w:ascii="Arial" w:hAnsi="Arial" w:cs="Arial"/>
          <w:sz w:val="22"/>
          <w:szCs w:val="22"/>
          <w:lang w:eastAsia="en-GB"/>
        </w:rPr>
      </w:pPr>
    </w:p>
    <w:p w14:paraId="2E7DA985" w14:textId="77777777" w:rsidR="003805CC" w:rsidRPr="003805CC" w:rsidRDefault="003805CC" w:rsidP="00571473">
      <w:pPr>
        <w:shd w:val="clear" w:color="auto" w:fill="FFFFFF"/>
        <w:ind w:left="480"/>
        <w:rPr>
          <w:rFonts w:ascii="Arial" w:hAnsi="Arial" w:cs="Arial"/>
          <w:sz w:val="22"/>
          <w:szCs w:val="22"/>
          <w:lang w:eastAsia="en-GB"/>
        </w:rPr>
      </w:pPr>
    </w:p>
    <w:p w14:paraId="79F0F053" w14:textId="77777777" w:rsidR="008B530E" w:rsidRDefault="008B530E" w:rsidP="00571473">
      <w:pPr>
        <w:pStyle w:val="NormalWeb"/>
        <w:numPr>
          <w:ilvl w:val="0"/>
          <w:numId w:val="18"/>
        </w:numPr>
        <w:spacing w:before="0" w:beforeAutospacing="0" w:after="0" w:afterAutospacing="0"/>
        <w:ind w:left="426"/>
        <w:rPr>
          <w:rFonts w:ascii="Arial" w:hAnsi="Arial" w:cs="Arial"/>
          <w:b/>
          <w:color w:val="auto"/>
          <w:sz w:val="22"/>
          <w:szCs w:val="22"/>
        </w:rPr>
      </w:pPr>
      <w:r w:rsidRPr="003805CC">
        <w:rPr>
          <w:rFonts w:ascii="Arial" w:hAnsi="Arial" w:cs="Arial"/>
          <w:b/>
          <w:color w:val="auto"/>
          <w:sz w:val="22"/>
          <w:szCs w:val="22"/>
        </w:rPr>
        <w:lastRenderedPageBreak/>
        <w:t>References</w:t>
      </w:r>
      <w:r w:rsidR="00E95827" w:rsidRPr="003805CC">
        <w:rPr>
          <w:rFonts w:ascii="Arial" w:hAnsi="Arial" w:cs="Arial"/>
          <w:b/>
          <w:color w:val="auto"/>
          <w:sz w:val="22"/>
          <w:szCs w:val="22"/>
        </w:rPr>
        <w:t>/Legislation</w:t>
      </w:r>
    </w:p>
    <w:p w14:paraId="77E171A3" w14:textId="77777777" w:rsidR="003F4893" w:rsidRPr="003805CC" w:rsidRDefault="003F4893" w:rsidP="00571473">
      <w:pPr>
        <w:pStyle w:val="NormalWeb"/>
        <w:spacing w:before="0" w:beforeAutospacing="0" w:after="0" w:afterAutospacing="0"/>
        <w:ind w:left="426"/>
        <w:rPr>
          <w:rFonts w:ascii="Arial" w:hAnsi="Arial" w:cs="Arial"/>
          <w:b/>
          <w:color w:val="auto"/>
          <w:sz w:val="22"/>
          <w:szCs w:val="22"/>
        </w:rPr>
      </w:pPr>
    </w:p>
    <w:p w14:paraId="2B4097F7" w14:textId="77777777" w:rsidR="00EE4B04" w:rsidRPr="003805CC" w:rsidRDefault="00BE403D" w:rsidP="00571473">
      <w:pPr>
        <w:ind w:left="720" w:hanging="720"/>
        <w:outlineLvl w:val="0"/>
        <w:rPr>
          <w:rFonts w:ascii="Arial" w:hAnsi="Arial" w:cs="Arial"/>
          <w:sz w:val="22"/>
          <w:szCs w:val="22"/>
        </w:rPr>
      </w:pPr>
      <w:r w:rsidRPr="003805CC">
        <w:rPr>
          <w:rFonts w:ascii="Arial" w:hAnsi="Arial" w:cs="Arial"/>
          <w:sz w:val="22"/>
          <w:szCs w:val="22"/>
        </w:rPr>
        <w:t>Public Interest Disclosure Act (PIDA) 1998</w:t>
      </w:r>
    </w:p>
    <w:p w14:paraId="2E0F2F71" w14:textId="77777777" w:rsidR="00EE42CC" w:rsidRDefault="00F143ED" w:rsidP="00571473">
      <w:pPr>
        <w:ind w:left="720" w:hanging="720"/>
        <w:outlineLvl w:val="0"/>
        <w:rPr>
          <w:rFonts w:ascii="Arial" w:hAnsi="Arial" w:cs="Arial"/>
          <w:sz w:val="22"/>
          <w:szCs w:val="22"/>
          <w:lang w:eastAsia="en-GB"/>
        </w:rPr>
      </w:pPr>
      <w:r w:rsidRPr="003805CC">
        <w:rPr>
          <w:rFonts w:ascii="Arial" w:hAnsi="Arial" w:cs="Arial"/>
          <w:sz w:val="22"/>
          <w:szCs w:val="22"/>
          <w:lang w:eastAsia="en-GB"/>
        </w:rPr>
        <w:t>Employment Protection Act 1996</w:t>
      </w:r>
    </w:p>
    <w:p w14:paraId="25DD0C30" w14:textId="77777777" w:rsidR="003805CC" w:rsidRPr="003805CC" w:rsidRDefault="003805CC" w:rsidP="00571473">
      <w:pPr>
        <w:ind w:left="720" w:hanging="720"/>
        <w:outlineLvl w:val="0"/>
        <w:rPr>
          <w:rFonts w:ascii="Arial" w:hAnsi="Arial" w:cs="Arial"/>
          <w:sz w:val="22"/>
          <w:szCs w:val="22"/>
          <w:lang w:eastAsia="en-GB"/>
        </w:rPr>
      </w:pPr>
    </w:p>
    <w:p w14:paraId="179BC890" w14:textId="77777777" w:rsidR="00F143ED" w:rsidRPr="003805CC" w:rsidRDefault="00F143ED" w:rsidP="00571473">
      <w:pPr>
        <w:ind w:left="720" w:hanging="720"/>
        <w:outlineLvl w:val="0"/>
        <w:rPr>
          <w:rFonts w:ascii="Arial" w:hAnsi="Arial" w:cs="Arial"/>
          <w:b/>
          <w:sz w:val="22"/>
          <w:szCs w:val="22"/>
        </w:rPr>
      </w:pPr>
    </w:p>
    <w:p w14:paraId="4E69ECDE" w14:textId="77777777" w:rsidR="00D8748D" w:rsidRDefault="00D8748D" w:rsidP="00571473">
      <w:pPr>
        <w:pStyle w:val="ListParagraph"/>
        <w:numPr>
          <w:ilvl w:val="0"/>
          <w:numId w:val="18"/>
        </w:numPr>
        <w:ind w:left="426"/>
        <w:contextualSpacing w:val="0"/>
        <w:rPr>
          <w:rFonts w:ascii="Arial" w:hAnsi="Arial" w:cs="Arial"/>
          <w:b/>
          <w:sz w:val="22"/>
          <w:szCs w:val="22"/>
        </w:rPr>
      </w:pPr>
      <w:r w:rsidRPr="003805CC">
        <w:rPr>
          <w:rFonts w:ascii="Arial" w:hAnsi="Arial" w:cs="Arial"/>
          <w:b/>
          <w:sz w:val="22"/>
          <w:szCs w:val="22"/>
        </w:rPr>
        <w:t>Disclosures</w:t>
      </w:r>
    </w:p>
    <w:p w14:paraId="1ED16823" w14:textId="77777777" w:rsidR="003F4893" w:rsidRPr="003805CC" w:rsidRDefault="003F4893" w:rsidP="00571473">
      <w:pPr>
        <w:pStyle w:val="ListParagraph"/>
        <w:ind w:left="426"/>
        <w:contextualSpacing w:val="0"/>
        <w:rPr>
          <w:rFonts w:ascii="Arial" w:hAnsi="Arial" w:cs="Arial"/>
          <w:b/>
          <w:sz w:val="22"/>
          <w:szCs w:val="22"/>
        </w:rPr>
      </w:pPr>
    </w:p>
    <w:p w14:paraId="50B0CF19" w14:textId="77777777" w:rsidR="008851E3" w:rsidRPr="003805CC" w:rsidRDefault="008851E3" w:rsidP="00571473">
      <w:pPr>
        <w:rPr>
          <w:rFonts w:ascii="Arial" w:hAnsi="Arial" w:cs="Arial"/>
          <w:sz w:val="22"/>
          <w:szCs w:val="22"/>
        </w:rPr>
      </w:pPr>
      <w:r w:rsidRPr="003805CC">
        <w:rPr>
          <w:rFonts w:ascii="Arial" w:hAnsi="Arial" w:cs="Arial"/>
          <w:sz w:val="22"/>
          <w:szCs w:val="22"/>
        </w:rPr>
        <w:t xml:space="preserve">The Public Interest Disclosure Act (PIDA) 1998 provides a framework within which </w:t>
      </w:r>
      <w:proofErr w:type="spellStart"/>
      <w:proofErr w:type="gramStart"/>
      <w:r w:rsidRPr="003805CC">
        <w:rPr>
          <w:rFonts w:ascii="Arial" w:hAnsi="Arial" w:cs="Arial"/>
          <w:sz w:val="22"/>
          <w:szCs w:val="22"/>
        </w:rPr>
        <w:t>organisation’s</w:t>
      </w:r>
      <w:proofErr w:type="spellEnd"/>
      <w:proofErr w:type="gramEnd"/>
      <w:r w:rsidRPr="003805CC">
        <w:rPr>
          <w:rFonts w:ascii="Arial" w:hAnsi="Arial" w:cs="Arial"/>
          <w:sz w:val="22"/>
          <w:szCs w:val="22"/>
        </w:rPr>
        <w:t xml:space="preserve"> can promote responsible whistle blowing. It gives significant statutory protection to employees who disclose information (protected disclosure</w:t>
      </w:r>
      <w:proofErr w:type="gramStart"/>
      <w:r w:rsidRPr="003805CC">
        <w:rPr>
          <w:rFonts w:ascii="Arial" w:hAnsi="Arial" w:cs="Arial"/>
          <w:sz w:val="22"/>
          <w:szCs w:val="22"/>
        </w:rPr>
        <w:t>)</w:t>
      </w:r>
      <w:proofErr w:type="gramEnd"/>
      <w:r w:rsidRPr="003805CC">
        <w:rPr>
          <w:rFonts w:ascii="Arial" w:hAnsi="Arial" w:cs="Arial"/>
          <w:sz w:val="22"/>
          <w:szCs w:val="22"/>
        </w:rPr>
        <w:t xml:space="preserve"> and it also protects them if they raise the matter outside the organisation (if they have good reason for doing so).  </w:t>
      </w:r>
    </w:p>
    <w:p w14:paraId="2A05D2BE" w14:textId="77777777" w:rsidR="004260DC" w:rsidRPr="003805CC" w:rsidRDefault="004260DC" w:rsidP="00571473">
      <w:pPr>
        <w:rPr>
          <w:rFonts w:ascii="Arial" w:hAnsi="Arial" w:cs="Arial"/>
          <w:sz w:val="22"/>
          <w:szCs w:val="22"/>
        </w:rPr>
      </w:pPr>
    </w:p>
    <w:p w14:paraId="3C7282A3" w14:textId="77777777" w:rsidR="00D771CD" w:rsidRPr="003805CC" w:rsidRDefault="00D771CD" w:rsidP="00571473">
      <w:pPr>
        <w:rPr>
          <w:rFonts w:ascii="Arial" w:hAnsi="Arial" w:cs="Arial"/>
          <w:sz w:val="22"/>
          <w:szCs w:val="22"/>
        </w:rPr>
      </w:pPr>
      <w:r w:rsidRPr="003805CC">
        <w:rPr>
          <w:rFonts w:ascii="Arial" w:hAnsi="Arial" w:cs="Arial"/>
          <w:sz w:val="22"/>
          <w:szCs w:val="22"/>
        </w:rPr>
        <w:t>In the UK</w:t>
      </w:r>
      <w:r w:rsidR="004260DC" w:rsidRPr="003805CC">
        <w:rPr>
          <w:rFonts w:ascii="Arial" w:hAnsi="Arial" w:cs="Arial"/>
          <w:sz w:val="22"/>
          <w:szCs w:val="22"/>
        </w:rPr>
        <w:t xml:space="preserve">, </w:t>
      </w:r>
      <w:r w:rsidRPr="003805CC">
        <w:rPr>
          <w:rFonts w:ascii="Arial" w:hAnsi="Arial" w:cs="Arial"/>
          <w:sz w:val="22"/>
          <w:szCs w:val="22"/>
        </w:rPr>
        <w:t>the Public Interest Disclosure Act has rules fo</w:t>
      </w:r>
      <w:r w:rsidR="004260DC" w:rsidRPr="003805CC">
        <w:rPr>
          <w:rFonts w:ascii="Arial" w:hAnsi="Arial" w:cs="Arial"/>
          <w:sz w:val="22"/>
          <w:szCs w:val="22"/>
        </w:rPr>
        <w:t>r making a Protected Disclosure, which are that you must:</w:t>
      </w:r>
      <w:r w:rsidRPr="003805CC">
        <w:rPr>
          <w:rFonts w:ascii="Arial" w:hAnsi="Arial" w:cs="Arial"/>
          <w:sz w:val="22"/>
          <w:szCs w:val="22"/>
        </w:rPr>
        <w:t xml:space="preserve"> </w:t>
      </w:r>
    </w:p>
    <w:p w14:paraId="100A8939" w14:textId="77777777" w:rsidR="004260DC" w:rsidRPr="003805CC" w:rsidRDefault="004260DC" w:rsidP="00571473">
      <w:pPr>
        <w:rPr>
          <w:rFonts w:ascii="Arial" w:hAnsi="Arial" w:cs="Arial"/>
          <w:sz w:val="22"/>
          <w:szCs w:val="22"/>
        </w:rPr>
      </w:pPr>
    </w:p>
    <w:p w14:paraId="7F3F19A8" w14:textId="77777777" w:rsidR="00D771CD" w:rsidRPr="003805CC" w:rsidRDefault="00D771CD" w:rsidP="00571473">
      <w:pPr>
        <w:pStyle w:val="ListParagraph"/>
        <w:numPr>
          <w:ilvl w:val="0"/>
          <w:numId w:val="19"/>
        </w:numPr>
        <w:contextualSpacing w:val="0"/>
        <w:rPr>
          <w:rFonts w:ascii="Arial" w:hAnsi="Arial" w:cs="Arial"/>
          <w:sz w:val="22"/>
          <w:szCs w:val="22"/>
        </w:rPr>
      </w:pPr>
      <w:r w:rsidRPr="003805CC">
        <w:rPr>
          <w:rFonts w:ascii="Arial" w:hAnsi="Arial" w:cs="Arial"/>
          <w:sz w:val="22"/>
          <w:szCs w:val="22"/>
        </w:rPr>
        <w:t>disclose</w:t>
      </w:r>
      <w:r w:rsidR="004260DC" w:rsidRPr="003805CC">
        <w:rPr>
          <w:rFonts w:ascii="Arial" w:hAnsi="Arial" w:cs="Arial"/>
          <w:sz w:val="22"/>
          <w:szCs w:val="22"/>
        </w:rPr>
        <w:t xml:space="preserve"> the information in good faith</w:t>
      </w:r>
    </w:p>
    <w:p w14:paraId="32C84CF3" w14:textId="77777777" w:rsidR="00D771CD" w:rsidRPr="003805CC" w:rsidRDefault="00D771CD" w:rsidP="00571473">
      <w:pPr>
        <w:pStyle w:val="ListParagraph"/>
        <w:numPr>
          <w:ilvl w:val="0"/>
          <w:numId w:val="19"/>
        </w:numPr>
        <w:contextualSpacing w:val="0"/>
        <w:rPr>
          <w:rFonts w:ascii="Arial" w:hAnsi="Arial" w:cs="Arial"/>
          <w:sz w:val="22"/>
          <w:szCs w:val="22"/>
        </w:rPr>
      </w:pPr>
      <w:r w:rsidRPr="003805CC">
        <w:rPr>
          <w:rFonts w:ascii="Arial" w:hAnsi="Arial" w:cs="Arial"/>
          <w:sz w:val="22"/>
          <w:szCs w:val="22"/>
        </w:rPr>
        <w:t>beli</w:t>
      </w:r>
      <w:r w:rsidR="004260DC" w:rsidRPr="003805CC">
        <w:rPr>
          <w:rFonts w:ascii="Arial" w:hAnsi="Arial" w:cs="Arial"/>
          <w:sz w:val="22"/>
          <w:szCs w:val="22"/>
        </w:rPr>
        <w:t>eve it to be substantially true</w:t>
      </w:r>
      <w:r w:rsidRPr="003805CC">
        <w:rPr>
          <w:rFonts w:ascii="Arial" w:hAnsi="Arial" w:cs="Arial"/>
          <w:sz w:val="22"/>
          <w:szCs w:val="22"/>
        </w:rPr>
        <w:t xml:space="preserve"> </w:t>
      </w:r>
    </w:p>
    <w:p w14:paraId="493CD720" w14:textId="77777777" w:rsidR="00D771CD" w:rsidRPr="003805CC" w:rsidRDefault="00D771CD" w:rsidP="00571473">
      <w:pPr>
        <w:pStyle w:val="ListParagraph"/>
        <w:numPr>
          <w:ilvl w:val="0"/>
          <w:numId w:val="19"/>
        </w:numPr>
        <w:contextualSpacing w:val="0"/>
        <w:rPr>
          <w:rFonts w:ascii="Arial" w:hAnsi="Arial" w:cs="Arial"/>
          <w:sz w:val="22"/>
          <w:szCs w:val="22"/>
        </w:rPr>
      </w:pPr>
      <w:r w:rsidRPr="003805CC">
        <w:rPr>
          <w:rFonts w:ascii="Arial" w:hAnsi="Arial" w:cs="Arial"/>
          <w:sz w:val="22"/>
          <w:szCs w:val="22"/>
        </w:rPr>
        <w:t>not act malici</w:t>
      </w:r>
      <w:r w:rsidR="004260DC" w:rsidRPr="003805CC">
        <w:rPr>
          <w:rFonts w:ascii="Arial" w:hAnsi="Arial" w:cs="Arial"/>
          <w:sz w:val="22"/>
          <w:szCs w:val="22"/>
        </w:rPr>
        <w:t>ously or make false allegations</w:t>
      </w:r>
      <w:r w:rsidRPr="003805CC">
        <w:rPr>
          <w:rFonts w:ascii="Arial" w:hAnsi="Arial" w:cs="Arial"/>
          <w:sz w:val="22"/>
          <w:szCs w:val="22"/>
        </w:rPr>
        <w:t xml:space="preserve"> </w:t>
      </w:r>
    </w:p>
    <w:p w14:paraId="3E15C017" w14:textId="77777777" w:rsidR="00D771CD" w:rsidRDefault="004260DC" w:rsidP="00571473">
      <w:pPr>
        <w:pStyle w:val="ListParagraph"/>
        <w:numPr>
          <w:ilvl w:val="0"/>
          <w:numId w:val="19"/>
        </w:numPr>
        <w:contextualSpacing w:val="0"/>
        <w:rPr>
          <w:rFonts w:ascii="Arial" w:hAnsi="Arial" w:cs="Arial"/>
          <w:sz w:val="22"/>
          <w:szCs w:val="22"/>
        </w:rPr>
      </w:pPr>
      <w:r w:rsidRPr="003805CC">
        <w:rPr>
          <w:rFonts w:ascii="Arial" w:hAnsi="Arial" w:cs="Arial"/>
          <w:sz w:val="22"/>
          <w:szCs w:val="22"/>
        </w:rPr>
        <w:t>not seek any personal gain</w:t>
      </w:r>
    </w:p>
    <w:p w14:paraId="3D3A4646" w14:textId="77777777" w:rsidR="005A1675" w:rsidRPr="003805CC" w:rsidRDefault="005A1675" w:rsidP="00571473">
      <w:pPr>
        <w:pStyle w:val="ListParagraph"/>
        <w:contextualSpacing w:val="0"/>
        <w:rPr>
          <w:rFonts w:ascii="Arial" w:hAnsi="Arial" w:cs="Arial"/>
          <w:sz w:val="22"/>
          <w:szCs w:val="22"/>
        </w:rPr>
      </w:pPr>
    </w:p>
    <w:p w14:paraId="6377078C" w14:textId="3D8064C4" w:rsidR="00EE4B04" w:rsidRPr="003805CC" w:rsidRDefault="00EE4B04" w:rsidP="00571473">
      <w:pPr>
        <w:rPr>
          <w:rFonts w:ascii="Arial" w:hAnsi="Arial" w:cs="Arial"/>
          <w:sz w:val="22"/>
          <w:szCs w:val="22"/>
        </w:rPr>
      </w:pPr>
      <w:r w:rsidRPr="003805CC">
        <w:rPr>
          <w:rFonts w:ascii="Arial" w:hAnsi="Arial" w:cs="Arial"/>
          <w:sz w:val="22"/>
          <w:szCs w:val="22"/>
        </w:rPr>
        <w:t xml:space="preserve">Despite its title (Public Interest Disclosure Act 1998), there was no specific requirement that a protected disclosure be made in the “public interest”. This enabled workers who complain about their individual employment contracts or make the most minor grumbles to claim protection under the whistleblowing rules. The Government stated this was not what the whistleblowing legislation was intended to achieve and that “this loophole” should be closed. As from 25 June 2013 any disclosure made by a worker will only count as a “qualifying disclosure” if the worker reasonably believes that the disclosure is both “made in the public interest” and fits into </w:t>
      </w:r>
      <w:r w:rsidR="007444BD">
        <w:rPr>
          <w:rFonts w:ascii="Arial" w:hAnsi="Arial" w:cs="Arial"/>
          <w:sz w:val="22"/>
          <w:szCs w:val="22"/>
        </w:rPr>
        <w:t xml:space="preserve">any </w:t>
      </w:r>
      <w:r w:rsidRPr="003805CC">
        <w:rPr>
          <w:rFonts w:ascii="Arial" w:hAnsi="Arial" w:cs="Arial"/>
          <w:sz w:val="22"/>
          <w:szCs w:val="22"/>
        </w:rPr>
        <w:t>of the categories set out in the legislation (</w:t>
      </w:r>
      <w:proofErr w:type="gramStart"/>
      <w:r w:rsidR="008F7AC2" w:rsidRPr="003805CC">
        <w:rPr>
          <w:rFonts w:ascii="Arial" w:hAnsi="Arial" w:cs="Arial"/>
          <w:sz w:val="22"/>
          <w:szCs w:val="22"/>
        </w:rPr>
        <w:t>e.g.</w:t>
      </w:r>
      <w:proofErr w:type="gramEnd"/>
      <w:r w:rsidRPr="003805CC">
        <w:rPr>
          <w:rFonts w:ascii="Arial" w:hAnsi="Arial" w:cs="Arial"/>
          <w:sz w:val="22"/>
          <w:szCs w:val="22"/>
        </w:rPr>
        <w:t xml:space="preserve"> a criminal offence, a breach of a legal obligation, a miscarriage of justice etc).</w:t>
      </w:r>
    </w:p>
    <w:p w14:paraId="686973DA" w14:textId="77777777" w:rsidR="00EE4B04" w:rsidRPr="003805CC" w:rsidRDefault="00EE4B04" w:rsidP="00571473">
      <w:pPr>
        <w:rPr>
          <w:rFonts w:ascii="Arial" w:hAnsi="Arial" w:cs="Arial"/>
          <w:sz w:val="22"/>
          <w:szCs w:val="22"/>
        </w:rPr>
      </w:pPr>
    </w:p>
    <w:p w14:paraId="308E64E9" w14:textId="77777777" w:rsidR="00D8748D" w:rsidRPr="003805CC" w:rsidRDefault="00D8748D" w:rsidP="00571473">
      <w:pPr>
        <w:rPr>
          <w:rFonts w:ascii="Arial" w:hAnsi="Arial" w:cs="Arial"/>
          <w:sz w:val="22"/>
          <w:szCs w:val="22"/>
        </w:rPr>
      </w:pPr>
    </w:p>
    <w:p w14:paraId="61C21C01" w14:textId="77777777" w:rsidR="00416A9B" w:rsidRDefault="00416A9B" w:rsidP="00571473">
      <w:pPr>
        <w:pStyle w:val="ListParagraph"/>
        <w:numPr>
          <w:ilvl w:val="0"/>
          <w:numId w:val="18"/>
        </w:numPr>
        <w:ind w:left="426"/>
        <w:contextualSpacing w:val="0"/>
        <w:rPr>
          <w:rFonts w:ascii="Arial" w:hAnsi="Arial" w:cs="Arial"/>
          <w:b/>
          <w:sz w:val="22"/>
          <w:szCs w:val="22"/>
        </w:rPr>
      </w:pPr>
      <w:r w:rsidRPr="003805CC">
        <w:rPr>
          <w:rFonts w:ascii="Arial" w:hAnsi="Arial" w:cs="Arial"/>
          <w:b/>
          <w:sz w:val="22"/>
          <w:szCs w:val="22"/>
        </w:rPr>
        <w:t>Procedure</w:t>
      </w:r>
    </w:p>
    <w:p w14:paraId="6294CC2C" w14:textId="77777777" w:rsidR="003F4893" w:rsidRPr="003805CC" w:rsidRDefault="003F4893" w:rsidP="00571473">
      <w:pPr>
        <w:pStyle w:val="ListParagraph"/>
        <w:ind w:left="426"/>
        <w:contextualSpacing w:val="0"/>
        <w:rPr>
          <w:rFonts w:ascii="Arial" w:hAnsi="Arial" w:cs="Arial"/>
          <w:b/>
          <w:sz w:val="22"/>
          <w:szCs w:val="22"/>
        </w:rPr>
      </w:pPr>
    </w:p>
    <w:p w14:paraId="6EB938A3" w14:textId="290C6372" w:rsidR="00416A9B" w:rsidRPr="003805CC" w:rsidRDefault="00CF4251" w:rsidP="00571473">
      <w:pPr>
        <w:rPr>
          <w:rFonts w:ascii="Arial" w:hAnsi="Arial" w:cs="Arial"/>
          <w:sz w:val="22"/>
          <w:szCs w:val="22"/>
        </w:rPr>
      </w:pPr>
      <w:r w:rsidRPr="12C6FECD">
        <w:rPr>
          <w:rFonts w:ascii="Arial" w:hAnsi="Arial" w:cs="Arial"/>
          <w:sz w:val="22"/>
          <w:szCs w:val="22"/>
        </w:rPr>
        <w:t xml:space="preserve">Where a staff member </w:t>
      </w:r>
      <w:r w:rsidR="00416A9B" w:rsidRPr="12C6FECD">
        <w:rPr>
          <w:rFonts w:ascii="Arial" w:hAnsi="Arial" w:cs="Arial"/>
          <w:sz w:val="22"/>
          <w:szCs w:val="22"/>
        </w:rPr>
        <w:t xml:space="preserve">has a legitimate concern over some perceived irregularity in company procedures, this concern should be drawn to the attention </w:t>
      </w:r>
      <w:r w:rsidRPr="12C6FECD">
        <w:rPr>
          <w:rFonts w:ascii="Arial" w:hAnsi="Arial" w:cs="Arial"/>
          <w:sz w:val="22"/>
          <w:szCs w:val="22"/>
        </w:rPr>
        <w:t xml:space="preserve">of their line manager, either orally or in writing, who will </w:t>
      </w:r>
      <w:r w:rsidR="00C806CD" w:rsidRPr="12C6FECD">
        <w:rPr>
          <w:rFonts w:ascii="Arial" w:hAnsi="Arial" w:cs="Arial"/>
          <w:sz w:val="22"/>
          <w:szCs w:val="22"/>
        </w:rPr>
        <w:t xml:space="preserve">record the details on the Incident Report Form and </w:t>
      </w:r>
      <w:r w:rsidRPr="12C6FECD">
        <w:rPr>
          <w:rFonts w:ascii="Arial" w:hAnsi="Arial" w:cs="Arial"/>
          <w:sz w:val="22"/>
          <w:szCs w:val="22"/>
        </w:rPr>
        <w:t>determine the most appropriate method</w:t>
      </w:r>
      <w:r w:rsidR="004823E9" w:rsidRPr="12C6FECD">
        <w:rPr>
          <w:rFonts w:ascii="Arial" w:hAnsi="Arial" w:cs="Arial"/>
          <w:sz w:val="22"/>
          <w:szCs w:val="22"/>
        </w:rPr>
        <w:t xml:space="preserve"> of investigating the complaint, including who will be the investigating officer.  </w:t>
      </w:r>
      <w:proofErr w:type="gramStart"/>
      <w:r w:rsidR="00416A9B" w:rsidRPr="12C6FECD">
        <w:rPr>
          <w:rFonts w:ascii="Arial" w:hAnsi="Arial" w:cs="Arial"/>
          <w:sz w:val="22"/>
          <w:szCs w:val="22"/>
        </w:rPr>
        <w:t>In the event that</w:t>
      </w:r>
      <w:proofErr w:type="gramEnd"/>
      <w:r w:rsidR="00416A9B" w:rsidRPr="12C6FECD">
        <w:rPr>
          <w:rFonts w:ascii="Arial" w:hAnsi="Arial" w:cs="Arial"/>
          <w:sz w:val="22"/>
          <w:szCs w:val="22"/>
        </w:rPr>
        <w:t xml:space="preserve"> the concern relates to the </w:t>
      </w:r>
      <w:r w:rsidRPr="12C6FECD">
        <w:rPr>
          <w:rFonts w:ascii="Arial" w:hAnsi="Arial" w:cs="Arial"/>
          <w:sz w:val="22"/>
          <w:szCs w:val="22"/>
        </w:rPr>
        <w:t>line manager</w:t>
      </w:r>
      <w:r w:rsidR="00416A9B" w:rsidRPr="12C6FECD">
        <w:rPr>
          <w:rFonts w:ascii="Arial" w:hAnsi="Arial" w:cs="Arial"/>
          <w:sz w:val="22"/>
          <w:szCs w:val="22"/>
        </w:rPr>
        <w:t xml:space="preserve"> then the employee should raise the matter with the </w:t>
      </w:r>
      <w:r w:rsidR="00292A76" w:rsidRPr="12C6FECD">
        <w:rPr>
          <w:rFonts w:ascii="Arial" w:hAnsi="Arial" w:cs="Arial"/>
          <w:sz w:val="22"/>
          <w:szCs w:val="22"/>
        </w:rPr>
        <w:t>Managing D</w:t>
      </w:r>
      <w:r w:rsidR="00416A9B" w:rsidRPr="12C6FECD">
        <w:rPr>
          <w:rFonts w:ascii="Arial" w:hAnsi="Arial" w:cs="Arial"/>
          <w:sz w:val="22"/>
          <w:szCs w:val="22"/>
        </w:rPr>
        <w:t>irector</w:t>
      </w:r>
      <w:r w:rsidR="00F92B4D" w:rsidRPr="12C6FECD">
        <w:rPr>
          <w:rFonts w:ascii="Arial" w:hAnsi="Arial" w:cs="Arial"/>
          <w:sz w:val="22"/>
          <w:szCs w:val="22"/>
        </w:rPr>
        <w:t xml:space="preserve"> and/or a Company Director</w:t>
      </w:r>
      <w:r w:rsidR="00416A9B" w:rsidRPr="12C6FECD">
        <w:rPr>
          <w:rFonts w:ascii="Arial" w:hAnsi="Arial" w:cs="Arial"/>
          <w:sz w:val="22"/>
          <w:szCs w:val="22"/>
        </w:rPr>
        <w:t>.</w:t>
      </w:r>
      <w:r w:rsidRPr="12C6FECD">
        <w:rPr>
          <w:rFonts w:ascii="Arial" w:hAnsi="Arial" w:cs="Arial"/>
          <w:sz w:val="22"/>
          <w:szCs w:val="22"/>
        </w:rPr>
        <w:t xml:space="preserve"> The matter will be regarded as strictly confidential.</w:t>
      </w:r>
    </w:p>
    <w:p w14:paraId="52BEC318" w14:textId="77777777" w:rsidR="00416A9B" w:rsidRPr="003805CC" w:rsidRDefault="00416A9B" w:rsidP="00571473">
      <w:pPr>
        <w:rPr>
          <w:rFonts w:ascii="Arial" w:hAnsi="Arial" w:cs="Arial"/>
          <w:sz w:val="22"/>
          <w:szCs w:val="22"/>
        </w:rPr>
      </w:pPr>
    </w:p>
    <w:p w14:paraId="7B4F4F8C" w14:textId="77777777" w:rsidR="003455A8" w:rsidRPr="003805CC" w:rsidRDefault="003455A8" w:rsidP="00571473">
      <w:pPr>
        <w:rPr>
          <w:rFonts w:ascii="Arial" w:hAnsi="Arial" w:cs="Arial"/>
          <w:sz w:val="22"/>
          <w:szCs w:val="22"/>
        </w:rPr>
      </w:pPr>
      <w:r w:rsidRPr="003805CC">
        <w:rPr>
          <w:rFonts w:ascii="Arial" w:hAnsi="Arial" w:cs="Arial"/>
          <w:sz w:val="22"/>
          <w:szCs w:val="22"/>
        </w:rPr>
        <w:t xml:space="preserve">If the concern relates to the alleged malpractice of another </w:t>
      </w:r>
      <w:r w:rsidR="00CF4251" w:rsidRPr="003805CC">
        <w:rPr>
          <w:rFonts w:ascii="Arial" w:hAnsi="Arial" w:cs="Arial"/>
          <w:sz w:val="22"/>
          <w:szCs w:val="22"/>
        </w:rPr>
        <w:t>staff member</w:t>
      </w:r>
      <w:r w:rsidRPr="003805CC">
        <w:rPr>
          <w:rFonts w:ascii="Arial" w:hAnsi="Arial" w:cs="Arial"/>
          <w:sz w:val="22"/>
          <w:szCs w:val="22"/>
        </w:rPr>
        <w:t xml:space="preserve">, that </w:t>
      </w:r>
      <w:r w:rsidR="00CF4251" w:rsidRPr="003805CC">
        <w:rPr>
          <w:rFonts w:ascii="Arial" w:hAnsi="Arial" w:cs="Arial"/>
          <w:sz w:val="22"/>
          <w:szCs w:val="22"/>
        </w:rPr>
        <w:t>staff member</w:t>
      </w:r>
      <w:r w:rsidRPr="003805CC">
        <w:rPr>
          <w:rFonts w:ascii="Arial" w:hAnsi="Arial" w:cs="Arial"/>
          <w:sz w:val="22"/>
          <w:szCs w:val="22"/>
        </w:rPr>
        <w:t xml:space="preserve"> will not be advised of the name of the complainant without the complainant’s authority to do so. </w:t>
      </w:r>
    </w:p>
    <w:p w14:paraId="2CABBA47" w14:textId="77777777" w:rsidR="003455A8" w:rsidRPr="003805CC" w:rsidRDefault="003455A8" w:rsidP="00571473">
      <w:pPr>
        <w:rPr>
          <w:rFonts w:ascii="Arial" w:hAnsi="Arial" w:cs="Arial"/>
          <w:sz w:val="22"/>
          <w:szCs w:val="22"/>
        </w:rPr>
      </w:pPr>
    </w:p>
    <w:p w14:paraId="5315F88E" w14:textId="1187DB3C" w:rsidR="003455A8" w:rsidRPr="003805CC" w:rsidRDefault="003455A8" w:rsidP="00571473">
      <w:pPr>
        <w:rPr>
          <w:rFonts w:ascii="Arial" w:hAnsi="Arial" w:cs="Arial"/>
          <w:sz w:val="22"/>
          <w:szCs w:val="22"/>
        </w:rPr>
      </w:pPr>
      <w:r w:rsidRPr="003805CC">
        <w:rPr>
          <w:rFonts w:ascii="Arial" w:hAnsi="Arial" w:cs="Arial"/>
          <w:sz w:val="22"/>
          <w:szCs w:val="22"/>
        </w:rPr>
        <w:t xml:space="preserve">The </w:t>
      </w:r>
      <w:r w:rsidR="00CF4251" w:rsidRPr="003805CC">
        <w:rPr>
          <w:rFonts w:ascii="Arial" w:hAnsi="Arial" w:cs="Arial"/>
          <w:sz w:val="22"/>
          <w:szCs w:val="22"/>
        </w:rPr>
        <w:t>staff member</w:t>
      </w:r>
      <w:r w:rsidR="00B23FAF" w:rsidRPr="003805CC">
        <w:rPr>
          <w:rFonts w:ascii="Arial" w:hAnsi="Arial" w:cs="Arial"/>
          <w:sz w:val="22"/>
          <w:szCs w:val="22"/>
        </w:rPr>
        <w:t xml:space="preserve"> raising the complaint will</w:t>
      </w:r>
      <w:r w:rsidRPr="003805CC">
        <w:rPr>
          <w:rFonts w:ascii="Arial" w:hAnsi="Arial" w:cs="Arial"/>
          <w:sz w:val="22"/>
          <w:szCs w:val="22"/>
        </w:rPr>
        <w:t xml:space="preserve"> normally be advised of the outcome of the investigation within 10 working days. If the complaint is substantiated, details of the remedial action taken will also be notified to the complainant. In cases where the investigation is unavoidably prolonged, the </w:t>
      </w:r>
      <w:r w:rsidR="009A6B7F">
        <w:rPr>
          <w:rFonts w:ascii="Arial" w:hAnsi="Arial" w:cs="Arial"/>
          <w:sz w:val="22"/>
          <w:szCs w:val="22"/>
        </w:rPr>
        <w:t xml:space="preserve">investigating officer </w:t>
      </w:r>
      <w:r w:rsidRPr="003805CC">
        <w:rPr>
          <w:rFonts w:ascii="Arial" w:hAnsi="Arial" w:cs="Arial"/>
          <w:sz w:val="22"/>
          <w:szCs w:val="22"/>
        </w:rPr>
        <w:t>will keep the complainant informed, in writing, as to the progress of the investigation and as to when it is likely to be concluded.</w:t>
      </w:r>
    </w:p>
    <w:p w14:paraId="0CED335C" w14:textId="77777777" w:rsidR="003455A8" w:rsidRPr="003805CC" w:rsidRDefault="003455A8" w:rsidP="00571473">
      <w:pPr>
        <w:rPr>
          <w:rFonts w:ascii="Arial" w:hAnsi="Arial" w:cs="Arial"/>
          <w:sz w:val="22"/>
          <w:szCs w:val="22"/>
        </w:rPr>
      </w:pPr>
    </w:p>
    <w:p w14:paraId="02D806C0" w14:textId="655BFD3C" w:rsidR="003455A8" w:rsidRDefault="003455A8" w:rsidP="00571473">
      <w:pPr>
        <w:rPr>
          <w:rFonts w:ascii="Arial" w:hAnsi="Arial" w:cs="Arial"/>
          <w:sz w:val="22"/>
          <w:szCs w:val="22"/>
        </w:rPr>
      </w:pPr>
      <w:r w:rsidRPr="003805CC">
        <w:rPr>
          <w:rFonts w:ascii="Arial" w:hAnsi="Arial" w:cs="Arial"/>
          <w:sz w:val="22"/>
          <w:szCs w:val="22"/>
        </w:rPr>
        <w:t xml:space="preserve">If the </w:t>
      </w:r>
      <w:r w:rsidR="00C806CD" w:rsidRPr="003805CC">
        <w:rPr>
          <w:rFonts w:ascii="Arial" w:hAnsi="Arial" w:cs="Arial"/>
          <w:sz w:val="22"/>
          <w:szCs w:val="22"/>
        </w:rPr>
        <w:t>staff member</w:t>
      </w:r>
      <w:r w:rsidRPr="003805CC">
        <w:rPr>
          <w:rFonts w:ascii="Arial" w:hAnsi="Arial" w:cs="Arial"/>
          <w:sz w:val="22"/>
          <w:szCs w:val="22"/>
        </w:rPr>
        <w:t xml:space="preserve"> who raised the complaint is not satisfied that it has been properly investigated</w:t>
      </w:r>
      <w:r w:rsidR="00C806CD" w:rsidRPr="003805CC">
        <w:rPr>
          <w:rFonts w:ascii="Arial" w:hAnsi="Arial" w:cs="Arial"/>
          <w:sz w:val="22"/>
          <w:szCs w:val="22"/>
        </w:rPr>
        <w:t>,</w:t>
      </w:r>
      <w:r w:rsidRPr="003805CC">
        <w:rPr>
          <w:rFonts w:ascii="Arial" w:hAnsi="Arial" w:cs="Arial"/>
          <w:sz w:val="22"/>
          <w:szCs w:val="22"/>
        </w:rPr>
        <w:t xml:space="preserve"> or that their concerns have been adequately addressed</w:t>
      </w:r>
      <w:r w:rsidR="00D771CD" w:rsidRPr="003805CC">
        <w:rPr>
          <w:rFonts w:ascii="Arial" w:hAnsi="Arial" w:cs="Arial"/>
          <w:sz w:val="22"/>
          <w:szCs w:val="22"/>
        </w:rPr>
        <w:t xml:space="preserve">, the employee does have the right to report this to the appropriate organisation or body </w:t>
      </w:r>
      <w:proofErr w:type="gramStart"/>
      <w:r w:rsidR="00D771CD" w:rsidRPr="003805CC">
        <w:rPr>
          <w:rFonts w:ascii="Arial" w:hAnsi="Arial" w:cs="Arial"/>
          <w:sz w:val="22"/>
          <w:szCs w:val="22"/>
        </w:rPr>
        <w:t>e.g.</w:t>
      </w:r>
      <w:proofErr w:type="gramEnd"/>
      <w:r w:rsidR="00D771CD" w:rsidRPr="003805CC">
        <w:rPr>
          <w:rFonts w:ascii="Arial" w:hAnsi="Arial" w:cs="Arial"/>
          <w:sz w:val="22"/>
          <w:szCs w:val="22"/>
        </w:rPr>
        <w:t xml:space="preserve"> the Police, </w:t>
      </w:r>
      <w:r w:rsidR="00291B6A">
        <w:rPr>
          <w:rFonts w:ascii="Arial" w:hAnsi="Arial" w:cs="Arial"/>
          <w:sz w:val="22"/>
          <w:szCs w:val="22"/>
        </w:rPr>
        <w:t xml:space="preserve">the Education and Skills Funding Agency, </w:t>
      </w:r>
      <w:r w:rsidR="00D771CD" w:rsidRPr="003805CC">
        <w:rPr>
          <w:rFonts w:ascii="Arial" w:hAnsi="Arial" w:cs="Arial"/>
          <w:sz w:val="22"/>
          <w:szCs w:val="22"/>
        </w:rPr>
        <w:t xml:space="preserve">the Environment Agency, Health and Safety Executive or Social Services Department. </w:t>
      </w:r>
    </w:p>
    <w:p w14:paraId="2C29621C" w14:textId="77777777" w:rsidR="003805CC" w:rsidRPr="003805CC" w:rsidRDefault="003805CC" w:rsidP="00571473">
      <w:pPr>
        <w:rPr>
          <w:rFonts w:ascii="Arial" w:hAnsi="Arial" w:cs="Arial"/>
          <w:sz w:val="22"/>
          <w:szCs w:val="22"/>
        </w:rPr>
      </w:pPr>
    </w:p>
    <w:p w14:paraId="34879B50" w14:textId="77777777" w:rsidR="003455A8" w:rsidRPr="003805CC" w:rsidRDefault="003455A8" w:rsidP="00571473">
      <w:pPr>
        <w:rPr>
          <w:rFonts w:ascii="Arial" w:hAnsi="Arial" w:cs="Arial"/>
          <w:sz w:val="22"/>
          <w:szCs w:val="22"/>
        </w:rPr>
      </w:pPr>
    </w:p>
    <w:p w14:paraId="515E224E" w14:textId="77777777" w:rsidR="0087747A" w:rsidRDefault="00B23FAF" w:rsidP="00571473">
      <w:pPr>
        <w:pStyle w:val="ListParagraph"/>
        <w:numPr>
          <w:ilvl w:val="0"/>
          <w:numId w:val="18"/>
        </w:numPr>
        <w:ind w:left="426"/>
        <w:contextualSpacing w:val="0"/>
        <w:rPr>
          <w:rFonts w:ascii="Arial" w:hAnsi="Arial" w:cs="Arial"/>
          <w:b/>
          <w:sz w:val="22"/>
          <w:szCs w:val="22"/>
        </w:rPr>
      </w:pPr>
      <w:r w:rsidRPr="003805CC">
        <w:rPr>
          <w:rFonts w:ascii="Arial" w:hAnsi="Arial" w:cs="Arial"/>
          <w:b/>
          <w:sz w:val="22"/>
          <w:szCs w:val="22"/>
        </w:rPr>
        <w:lastRenderedPageBreak/>
        <w:t>Malicious accusations</w:t>
      </w:r>
    </w:p>
    <w:p w14:paraId="01699C70" w14:textId="77777777" w:rsidR="003F4893" w:rsidRPr="003805CC" w:rsidRDefault="003F4893" w:rsidP="00571473">
      <w:pPr>
        <w:pStyle w:val="ListParagraph"/>
        <w:ind w:left="426"/>
        <w:contextualSpacing w:val="0"/>
        <w:rPr>
          <w:rFonts w:ascii="Arial" w:hAnsi="Arial" w:cs="Arial"/>
          <w:b/>
          <w:sz w:val="22"/>
          <w:szCs w:val="22"/>
        </w:rPr>
      </w:pPr>
    </w:p>
    <w:p w14:paraId="2356FDCD" w14:textId="77777777" w:rsidR="00B23FAF" w:rsidRPr="003805CC" w:rsidRDefault="00B23FAF" w:rsidP="00571473">
      <w:pPr>
        <w:rPr>
          <w:rFonts w:ascii="Arial" w:hAnsi="Arial" w:cs="Arial"/>
          <w:sz w:val="22"/>
          <w:szCs w:val="22"/>
        </w:rPr>
      </w:pPr>
      <w:r w:rsidRPr="003805CC">
        <w:rPr>
          <w:rFonts w:ascii="Arial" w:hAnsi="Arial" w:cs="Arial"/>
          <w:sz w:val="22"/>
          <w:szCs w:val="22"/>
        </w:rPr>
        <w:t xml:space="preserve">Any deliberately false or malicious accusations will result in the complainant being dealt with under the </w:t>
      </w:r>
      <w:r w:rsidR="00C806CD" w:rsidRPr="003805CC">
        <w:rPr>
          <w:rFonts w:ascii="Arial" w:hAnsi="Arial" w:cs="Arial"/>
          <w:sz w:val="22"/>
          <w:szCs w:val="22"/>
        </w:rPr>
        <w:t>C</w:t>
      </w:r>
      <w:r w:rsidRPr="003805CC">
        <w:rPr>
          <w:rFonts w:ascii="Arial" w:hAnsi="Arial" w:cs="Arial"/>
          <w:sz w:val="22"/>
          <w:szCs w:val="22"/>
        </w:rPr>
        <w:t>ompany</w:t>
      </w:r>
      <w:r w:rsidR="00C806CD" w:rsidRPr="003805CC">
        <w:rPr>
          <w:rFonts w:ascii="Arial" w:hAnsi="Arial" w:cs="Arial"/>
          <w:sz w:val="22"/>
          <w:szCs w:val="22"/>
        </w:rPr>
        <w:t>’s</w:t>
      </w:r>
      <w:r w:rsidRPr="003805CC">
        <w:rPr>
          <w:rFonts w:ascii="Arial" w:hAnsi="Arial" w:cs="Arial"/>
          <w:sz w:val="22"/>
          <w:szCs w:val="22"/>
        </w:rPr>
        <w:t xml:space="preserve"> </w:t>
      </w:r>
      <w:r w:rsidR="00C806CD" w:rsidRPr="003805CC">
        <w:rPr>
          <w:rFonts w:ascii="Arial" w:hAnsi="Arial" w:cs="Arial"/>
          <w:sz w:val="22"/>
          <w:szCs w:val="22"/>
        </w:rPr>
        <w:t>conduct management</w:t>
      </w:r>
      <w:r w:rsidRPr="003805CC">
        <w:rPr>
          <w:rFonts w:ascii="Arial" w:hAnsi="Arial" w:cs="Arial"/>
          <w:sz w:val="22"/>
          <w:szCs w:val="22"/>
        </w:rPr>
        <w:t xml:space="preserve"> procedure</w:t>
      </w:r>
      <w:r w:rsidR="00C806CD" w:rsidRPr="003805CC">
        <w:rPr>
          <w:rFonts w:ascii="Arial" w:hAnsi="Arial" w:cs="Arial"/>
          <w:sz w:val="22"/>
          <w:szCs w:val="22"/>
        </w:rPr>
        <w:t>s</w:t>
      </w:r>
      <w:r w:rsidRPr="003805CC">
        <w:rPr>
          <w:rFonts w:ascii="Arial" w:hAnsi="Arial" w:cs="Arial"/>
          <w:sz w:val="22"/>
          <w:szCs w:val="22"/>
        </w:rPr>
        <w:t xml:space="preserve">. </w:t>
      </w:r>
    </w:p>
    <w:p w14:paraId="5B5377CA" w14:textId="77777777" w:rsidR="0087747A" w:rsidRPr="003805CC" w:rsidRDefault="0087747A" w:rsidP="00571473">
      <w:pPr>
        <w:rPr>
          <w:rFonts w:ascii="Arial" w:hAnsi="Arial" w:cs="Arial"/>
          <w:sz w:val="22"/>
          <w:szCs w:val="22"/>
        </w:rPr>
      </w:pPr>
    </w:p>
    <w:p w14:paraId="5BB4223B" w14:textId="77777777" w:rsidR="005A1675" w:rsidRPr="003805CC" w:rsidRDefault="005A1675" w:rsidP="00571473">
      <w:pPr>
        <w:rPr>
          <w:rFonts w:ascii="Arial" w:hAnsi="Arial" w:cs="Arial"/>
          <w:sz w:val="22"/>
          <w:szCs w:val="22"/>
        </w:rPr>
      </w:pPr>
    </w:p>
    <w:p w14:paraId="053BA56A" w14:textId="6550E4CF" w:rsidR="007C36B8" w:rsidRPr="003F4893" w:rsidRDefault="003F4893" w:rsidP="00571473">
      <w:pPr>
        <w:ind w:left="450" w:hanging="360"/>
        <w:rPr>
          <w:rFonts w:ascii="Arial" w:hAnsi="Arial" w:cs="Arial"/>
          <w:b/>
          <w:sz w:val="22"/>
          <w:szCs w:val="22"/>
        </w:rPr>
      </w:pPr>
      <w:r>
        <w:rPr>
          <w:rFonts w:ascii="Arial" w:hAnsi="Arial" w:cs="Arial"/>
          <w:b/>
          <w:sz w:val="22"/>
          <w:szCs w:val="22"/>
        </w:rPr>
        <w:t xml:space="preserve">9. </w:t>
      </w:r>
      <w:r w:rsidR="007C36B8" w:rsidRPr="003F4893">
        <w:rPr>
          <w:rFonts w:ascii="Arial" w:hAnsi="Arial" w:cs="Arial"/>
          <w:b/>
          <w:sz w:val="22"/>
          <w:szCs w:val="22"/>
        </w:rPr>
        <w:t>Escalation and whistleblowing complaints about delivery of funded learning programmes</w:t>
      </w:r>
    </w:p>
    <w:p w14:paraId="5C457D17" w14:textId="77777777" w:rsidR="007C36B8" w:rsidRPr="00126484" w:rsidRDefault="007C36B8" w:rsidP="00571473">
      <w:pPr>
        <w:pStyle w:val="ListParagraph"/>
        <w:ind w:right="27" w:hanging="720"/>
        <w:contextualSpacing w:val="0"/>
        <w:rPr>
          <w:rFonts w:asciiTheme="minorHAnsi" w:hAnsiTheme="minorHAnsi" w:cs="Arial"/>
          <w:b/>
        </w:rPr>
      </w:pPr>
    </w:p>
    <w:p w14:paraId="4106D296" w14:textId="730D378C" w:rsidR="00FD42F7" w:rsidRDefault="007C36B8" w:rsidP="00571473">
      <w:pPr>
        <w:pStyle w:val="ListParagraph"/>
        <w:ind w:right="27" w:hanging="630"/>
        <w:contextualSpacing w:val="0"/>
        <w:rPr>
          <w:rFonts w:asciiTheme="minorHAnsi" w:hAnsiTheme="minorHAnsi" w:cs="Arial"/>
        </w:rPr>
      </w:pPr>
      <w:r>
        <w:rPr>
          <w:rFonts w:asciiTheme="minorHAnsi" w:hAnsiTheme="minorHAnsi" w:cs="Arial"/>
        </w:rPr>
        <w:t>9</w:t>
      </w:r>
      <w:r w:rsidRPr="00126484">
        <w:rPr>
          <w:rFonts w:asciiTheme="minorHAnsi" w:hAnsiTheme="minorHAnsi" w:cs="Arial"/>
        </w:rPr>
        <w:t>.1</w:t>
      </w:r>
      <w:r w:rsidRPr="00126484">
        <w:rPr>
          <w:rFonts w:asciiTheme="minorHAnsi" w:hAnsiTheme="minorHAnsi" w:cs="Arial"/>
        </w:rPr>
        <w:tab/>
        <w:t xml:space="preserve">The Education and Skills Funding Agency </w:t>
      </w:r>
      <w:r w:rsidR="008911A7">
        <w:rPr>
          <w:rFonts w:asciiTheme="minorHAnsi" w:hAnsiTheme="minorHAnsi" w:cs="Arial"/>
        </w:rPr>
        <w:t xml:space="preserve">(ESFA) </w:t>
      </w:r>
      <w:r>
        <w:rPr>
          <w:rFonts w:asciiTheme="minorHAnsi" w:hAnsiTheme="minorHAnsi" w:cs="Arial"/>
        </w:rPr>
        <w:t xml:space="preserve">has </w:t>
      </w:r>
      <w:r w:rsidR="00FD42F7">
        <w:rPr>
          <w:rFonts w:asciiTheme="minorHAnsi" w:hAnsiTheme="minorHAnsi" w:cs="Arial"/>
        </w:rPr>
        <w:t xml:space="preserve">information on GOV.UK </w:t>
      </w:r>
      <w:r w:rsidR="008911A7">
        <w:rPr>
          <w:rFonts w:asciiTheme="minorHAnsi" w:hAnsiTheme="minorHAnsi" w:cs="Arial"/>
        </w:rPr>
        <w:t xml:space="preserve">in relation to </w:t>
      </w:r>
      <w:r w:rsidR="00C80B5F">
        <w:rPr>
          <w:rFonts w:asciiTheme="minorHAnsi" w:hAnsiTheme="minorHAnsi" w:cs="Arial"/>
        </w:rPr>
        <w:t>how</w:t>
      </w:r>
      <w:r w:rsidR="008911A7">
        <w:rPr>
          <w:rFonts w:asciiTheme="minorHAnsi" w:hAnsiTheme="minorHAnsi" w:cs="Arial"/>
        </w:rPr>
        <w:t xml:space="preserve"> it handles </w:t>
      </w:r>
      <w:r w:rsidR="00C80B5F" w:rsidRPr="008911A7">
        <w:rPr>
          <w:rFonts w:asciiTheme="minorHAnsi" w:hAnsiTheme="minorHAnsi" w:cs="Arial"/>
        </w:rPr>
        <w:t xml:space="preserve">whistleblowing disclosures about post-16 </w:t>
      </w:r>
      <w:r w:rsidR="00FD42F7">
        <w:rPr>
          <w:rFonts w:asciiTheme="minorHAnsi" w:hAnsiTheme="minorHAnsi" w:cs="Arial"/>
        </w:rPr>
        <w:t xml:space="preserve">training </w:t>
      </w:r>
      <w:r w:rsidR="00C80B5F" w:rsidRPr="008911A7">
        <w:rPr>
          <w:rFonts w:asciiTheme="minorHAnsi" w:hAnsiTheme="minorHAnsi" w:cs="Arial"/>
        </w:rPr>
        <w:t>providers.</w:t>
      </w:r>
    </w:p>
    <w:p w14:paraId="79FCFDDC" w14:textId="77777777" w:rsidR="00FD42F7" w:rsidRDefault="00FD42F7" w:rsidP="00571473">
      <w:pPr>
        <w:pStyle w:val="ListParagraph"/>
        <w:ind w:right="27" w:hanging="720"/>
        <w:contextualSpacing w:val="0"/>
        <w:rPr>
          <w:rFonts w:asciiTheme="minorHAnsi" w:hAnsiTheme="minorHAnsi" w:cs="Arial"/>
        </w:rPr>
      </w:pPr>
    </w:p>
    <w:p w14:paraId="40891278" w14:textId="77777777" w:rsidR="00FD42F7" w:rsidRDefault="00FD42F7" w:rsidP="00571473">
      <w:pPr>
        <w:pStyle w:val="ListParagraph"/>
        <w:ind w:right="27" w:hanging="720"/>
        <w:contextualSpacing w:val="0"/>
        <w:rPr>
          <w:rFonts w:asciiTheme="minorHAnsi" w:hAnsiTheme="minorHAnsi" w:cs="Arial"/>
        </w:rPr>
      </w:pPr>
      <w:r>
        <w:rPr>
          <w:rFonts w:asciiTheme="minorHAnsi" w:hAnsiTheme="minorHAnsi" w:cs="Arial"/>
        </w:rPr>
        <w:t xml:space="preserve">The link to this information is: </w:t>
      </w:r>
    </w:p>
    <w:p w14:paraId="768E015A" w14:textId="65966E31" w:rsidR="005C0EC9" w:rsidRDefault="00000000" w:rsidP="00571473">
      <w:pPr>
        <w:pStyle w:val="ListParagraph"/>
        <w:ind w:right="27" w:hanging="720"/>
        <w:contextualSpacing w:val="0"/>
        <w:rPr>
          <w:rFonts w:asciiTheme="minorHAnsi" w:hAnsiTheme="minorHAnsi" w:cs="Arial"/>
        </w:rPr>
      </w:pPr>
      <w:hyperlink r:id="rId11" w:history="1">
        <w:r w:rsidR="005C0EC9" w:rsidRPr="00720824">
          <w:rPr>
            <w:rStyle w:val="Hyperlink"/>
            <w:rFonts w:asciiTheme="minorHAnsi" w:hAnsiTheme="minorHAnsi" w:cs="Arial"/>
          </w:rPr>
          <w:t>https://www.gov.uk/guidance/how-esfa-handles-whistleblowing-disclosures</w:t>
        </w:r>
      </w:hyperlink>
    </w:p>
    <w:p w14:paraId="1037B6F7" w14:textId="77777777" w:rsidR="005C0EC9" w:rsidRDefault="005C0EC9" w:rsidP="00571473">
      <w:pPr>
        <w:pStyle w:val="ListParagraph"/>
        <w:ind w:right="27" w:hanging="720"/>
        <w:contextualSpacing w:val="0"/>
        <w:rPr>
          <w:rFonts w:asciiTheme="minorHAnsi" w:hAnsiTheme="minorHAnsi" w:cs="Arial"/>
        </w:rPr>
      </w:pPr>
    </w:p>
    <w:p w14:paraId="584A7AF5" w14:textId="77777777" w:rsidR="005C0EC9" w:rsidRDefault="005C0EC9" w:rsidP="00571473">
      <w:pPr>
        <w:pStyle w:val="ListParagraph"/>
        <w:ind w:right="27" w:hanging="720"/>
        <w:contextualSpacing w:val="0"/>
        <w:rPr>
          <w:rFonts w:asciiTheme="minorHAnsi" w:hAnsiTheme="minorHAnsi" w:cs="Arial"/>
        </w:rPr>
      </w:pPr>
    </w:p>
    <w:p w14:paraId="44916935" w14:textId="4758A3D0" w:rsidR="008911A7" w:rsidRDefault="008911A7" w:rsidP="00571473">
      <w:pPr>
        <w:pStyle w:val="NormalWeb"/>
        <w:shd w:val="clear" w:color="auto" w:fill="FFFFFF"/>
        <w:spacing w:before="0" w:beforeAutospacing="0" w:after="0" w:afterAutospacing="0"/>
        <w:rPr>
          <w:rFonts w:asciiTheme="minorHAnsi" w:hAnsiTheme="minorHAnsi" w:cs="Arial"/>
          <w:color w:val="auto"/>
        </w:rPr>
      </w:pPr>
      <w:r w:rsidRPr="00FD42F7">
        <w:rPr>
          <w:rFonts w:asciiTheme="minorHAnsi" w:hAnsiTheme="minorHAnsi" w:cs="Arial"/>
          <w:color w:val="auto"/>
        </w:rPr>
        <w:t>To complain or make a disclosure about a post-16 education or training provider, please email </w:t>
      </w:r>
      <w:hyperlink r:id="rId12" w:history="1">
        <w:r w:rsidRPr="00FD42F7">
          <w:rPr>
            <w:rFonts w:asciiTheme="minorHAnsi" w:hAnsiTheme="minorHAnsi"/>
            <w:color w:val="auto"/>
          </w:rPr>
          <w:t>ESFA’s Customer Service Team</w:t>
        </w:r>
      </w:hyperlink>
      <w:r w:rsidRPr="00FD42F7">
        <w:rPr>
          <w:rFonts w:asciiTheme="minorHAnsi" w:hAnsiTheme="minorHAnsi" w:cs="Arial"/>
          <w:color w:val="auto"/>
        </w:rPr>
        <w:t> </w:t>
      </w:r>
      <w:r w:rsidR="00FD42F7" w:rsidRPr="00FD42F7">
        <w:rPr>
          <w:rFonts w:asciiTheme="minorHAnsi" w:hAnsiTheme="minorHAnsi" w:cs="Arial"/>
          <w:color w:val="auto"/>
        </w:rPr>
        <w:t>(</w:t>
      </w:r>
      <w:hyperlink r:id="rId13" w:history="1">
        <w:r w:rsidR="00FD42F7" w:rsidRPr="007669B4">
          <w:rPr>
            <w:rStyle w:val="Hyperlink"/>
            <w:rFonts w:asciiTheme="minorHAnsi" w:hAnsiTheme="minorHAnsi"/>
          </w:rPr>
          <w:t>complaints.esfa@education.gov.u</w:t>
        </w:r>
        <w:r w:rsidR="00FD42F7" w:rsidRPr="007669B4">
          <w:rPr>
            <w:rStyle w:val="Hyperlink"/>
            <w:rFonts w:asciiTheme="minorHAnsi" w:hAnsiTheme="minorHAnsi" w:cs="Arial"/>
          </w:rPr>
          <w:t>k</w:t>
        </w:r>
      </w:hyperlink>
      <w:r w:rsidR="00FD42F7" w:rsidRPr="00FD42F7">
        <w:rPr>
          <w:rFonts w:asciiTheme="minorHAnsi" w:hAnsiTheme="minorHAnsi" w:cs="Arial"/>
          <w:color w:val="auto"/>
        </w:rPr>
        <w:t xml:space="preserve">) </w:t>
      </w:r>
      <w:r w:rsidRPr="00FD42F7">
        <w:rPr>
          <w:rFonts w:asciiTheme="minorHAnsi" w:hAnsiTheme="minorHAnsi" w:cs="Arial"/>
          <w:color w:val="auto"/>
        </w:rPr>
        <w:t>or send a letter to:</w:t>
      </w:r>
    </w:p>
    <w:p w14:paraId="2E914B50" w14:textId="77777777" w:rsidR="00FD42F7" w:rsidRPr="00FD42F7" w:rsidRDefault="00FD42F7" w:rsidP="00571473">
      <w:pPr>
        <w:pStyle w:val="NormalWeb"/>
        <w:shd w:val="clear" w:color="auto" w:fill="FFFFFF"/>
        <w:spacing w:before="0" w:beforeAutospacing="0" w:after="0" w:afterAutospacing="0"/>
        <w:rPr>
          <w:rFonts w:asciiTheme="minorHAnsi" w:hAnsiTheme="minorHAnsi" w:cs="Arial"/>
          <w:color w:val="auto"/>
        </w:rPr>
      </w:pPr>
    </w:p>
    <w:p w14:paraId="1EAF669D" w14:textId="77777777" w:rsidR="00FD42F7" w:rsidRDefault="008911A7" w:rsidP="00571473">
      <w:pPr>
        <w:pStyle w:val="NormalWeb"/>
        <w:shd w:val="clear" w:color="auto" w:fill="FFFFFF"/>
        <w:spacing w:before="0" w:beforeAutospacing="0" w:after="0" w:afterAutospacing="0"/>
        <w:textAlignment w:val="baseline"/>
        <w:rPr>
          <w:rFonts w:asciiTheme="minorHAnsi" w:hAnsiTheme="minorHAnsi" w:cs="Arial"/>
          <w:color w:val="auto"/>
        </w:rPr>
      </w:pPr>
      <w:r w:rsidRPr="00FD42F7">
        <w:rPr>
          <w:rFonts w:asciiTheme="minorHAnsi" w:hAnsiTheme="minorHAnsi" w:cs="Arial"/>
          <w:color w:val="auto"/>
        </w:rPr>
        <w:t>Customer Service Team</w:t>
      </w:r>
      <w:r w:rsidRPr="00FD42F7">
        <w:rPr>
          <w:rFonts w:asciiTheme="minorHAnsi" w:hAnsiTheme="minorHAnsi" w:cs="Arial"/>
          <w:color w:val="auto"/>
        </w:rPr>
        <w:br/>
        <w:t>Education and Skills Funding Agency</w:t>
      </w:r>
      <w:r w:rsidRPr="00FD42F7">
        <w:rPr>
          <w:rFonts w:asciiTheme="minorHAnsi" w:hAnsiTheme="minorHAnsi" w:cs="Arial"/>
          <w:color w:val="auto"/>
        </w:rPr>
        <w:br/>
      </w:r>
      <w:proofErr w:type="spellStart"/>
      <w:r w:rsidRPr="00FD42F7">
        <w:rPr>
          <w:rFonts w:asciiTheme="minorHAnsi" w:hAnsiTheme="minorHAnsi" w:cs="Arial"/>
          <w:color w:val="auto"/>
        </w:rPr>
        <w:t>Cheylesm</w:t>
      </w:r>
      <w:r w:rsidR="00FD42F7">
        <w:rPr>
          <w:rFonts w:asciiTheme="minorHAnsi" w:hAnsiTheme="minorHAnsi" w:cs="Arial"/>
          <w:color w:val="auto"/>
        </w:rPr>
        <w:t>ore</w:t>
      </w:r>
      <w:proofErr w:type="spellEnd"/>
      <w:r w:rsidR="00FD42F7">
        <w:rPr>
          <w:rFonts w:asciiTheme="minorHAnsi" w:hAnsiTheme="minorHAnsi" w:cs="Arial"/>
          <w:color w:val="auto"/>
        </w:rPr>
        <w:t xml:space="preserve"> House</w:t>
      </w:r>
      <w:r w:rsidR="00FD42F7">
        <w:rPr>
          <w:rFonts w:asciiTheme="minorHAnsi" w:hAnsiTheme="minorHAnsi" w:cs="Arial"/>
          <w:color w:val="auto"/>
        </w:rPr>
        <w:br/>
        <w:t>Quinton Road</w:t>
      </w:r>
      <w:r w:rsidR="00FD42F7">
        <w:rPr>
          <w:rFonts w:asciiTheme="minorHAnsi" w:hAnsiTheme="minorHAnsi" w:cs="Arial"/>
          <w:color w:val="auto"/>
        </w:rPr>
        <w:br/>
        <w:t>Coventry</w:t>
      </w:r>
    </w:p>
    <w:p w14:paraId="197DF5A4" w14:textId="4A0066EE" w:rsidR="008911A7" w:rsidRPr="00FD42F7" w:rsidRDefault="008911A7" w:rsidP="00571473">
      <w:pPr>
        <w:pStyle w:val="NormalWeb"/>
        <w:shd w:val="clear" w:color="auto" w:fill="FFFFFF"/>
        <w:spacing w:before="0" w:beforeAutospacing="0" w:after="0" w:afterAutospacing="0"/>
        <w:textAlignment w:val="baseline"/>
        <w:rPr>
          <w:rFonts w:asciiTheme="minorHAnsi" w:hAnsiTheme="minorHAnsi" w:cs="Arial"/>
          <w:color w:val="auto"/>
        </w:rPr>
      </w:pPr>
      <w:r w:rsidRPr="00FD42F7">
        <w:rPr>
          <w:rFonts w:asciiTheme="minorHAnsi" w:hAnsiTheme="minorHAnsi" w:cs="Arial"/>
          <w:color w:val="auto"/>
        </w:rPr>
        <w:t>CV1 2WT</w:t>
      </w:r>
    </w:p>
    <w:p w14:paraId="585AEA7C" w14:textId="77777777" w:rsidR="00FD42F7" w:rsidRDefault="00FD42F7" w:rsidP="00571473">
      <w:pPr>
        <w:pStyle w:val="NormalWeb"/>
        <w:shd w:val="clear" w:color="auto" w:fill="FFFFFF"/>
        <w:spacing w:before="0" w:beforeAutospacing="0" w:after="300" w:afterAutospacing="0"/>
        <w:textAlignment w:val="baseline"/>
        <w:rPr>
          <w:rFonts w:ascii="Arial" w:hAnsi="Arial" w:cs="Arial"/>
          <w:color w:val="0B0C0C"/>
          <w:sz w:val="29"/>
          <w:szCs w:val="29"/>
        </w:rPr>
      </w:pPr>
    </w:p>
    <w:p w14:paraId="32E288B7" w14:textId="77777777" w:rsidR="00FD42F7" w:rsidRDefault="00FD42F7" w:rsidP="00571473">
      <w:pPr>
        <w:pStyle w:val="NormalWeb"/>
        <w:shd w:val="clear" w:color="auto" w:fill="FFFFFF"/>
        <w:spacing w:before="0" w:beforeAutospacing="0" w:after="300" w:afterAutospacing="0"/>
        <w:textAlignment w:val="baseline"/>
        <w:rPr>
          <w:rFonts w:ascii="Arial" w:hAnsi="Arial" w:cs="Arial"/>
          <w:color w:val="0B0C0C"/>
          <w:sz w:val="29"/>
          <w:szCs w:val="29"/>
        </w:rPr>
      </w:pPr>
    </w:p>
    <w:p w14:paraId="25C69872" w14:textId="77777777" w:rsidR="00571473" w:rsidRDefault="00571473">
      <w:pPr>
        <w:pStyle w:val="NormalWeb"/>
        <w:shd w:val="clear" w:color="auto" w:fill="FFFFFF"/>
        <w:spacing w:before="0" w:beforeAutospacing="0" w:after="300" w:afterAutospacing="0"/>
        <w:textAlignment w:val="baseline"/>
        <w:rPr>
          <w:rFonts w:ascii="Arial" w:hAnsi="Arial" w:cs="Arial"/>
          <w:color w:val="0B0C0C"/>
          <w:sz w:val="29"/>
          <w:szCs w:val="29"/>
        </w:rPr>
      </w:pPr>
    </w:p>
    <w:sectPr w:rsidR="00571473" w:rsidSect="008B530E">
      <w:headerReference w:type="default" r:id="rId14"/>
      <w:footerReference w:type="default" r:id="rId15"/>
      <w:pgSz w:w="12240" w:h="15840" w:code="1"/>
      <w:pgMar w:top="873" w:right="1134" w:bottom="873" w:left="1134"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33B60" w14:textId="77777777" w:rsidR="00EC4955" w:rsidRDefault="00EC4955">
      <w:r>
        <w:separator/>
      </w:r>
    </w:p>
  </w:endnote>
  <w:endnote w:type="continuationSeparator" w:id="0">
    <w:p w14:paraId="55F50401" w14:textId="77777777" w:rsidR="00EC4955" w:rsidRDefault="00EC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DFE47" w14:textId="77777777" w:rsidR="00373C09" w:rsidRPr="001D1A3F" w:rsidRDefault="00373C09" w:rsidP="00373C09">
    <w:pPr>
      <w:pStyle w:val="Footer"/>
      <w:jc w:val="center"/>
      <w:rPr>
        <w:sz w:val="16"/>
        <w:szCs w:val="16"/>
      </w:rPr>
    </w:pPr>
    <w:r w:rsidRPr="001D1A3F">
      <w:rPr>
        <w:sz w:val="16"/>
        <w:szCs w:val="16"/>
      </w:rPr>
      <w:t xml:space="preserve">Page </w:t>
    </w:r>
    <w:r w:rsidR="00544E97" w:rsidRPr="001D1A3F">
      <w:rPr>
        <w:b/>
        <w:sz w:val="16"/>
        <w:szCs w:val="16"/>
      </w:rPr>
      <w:fldChar w:fldCharType="begin"/>
    </w:r>
    <w:r w:rsidRPr="001D1A3F">
      <w:rPr>
        <w:b/>
        <w:sz w:val="16"/>
        <w:szCs w:val="16"/>
      </w:rPr>
      <w:instrText xml:space="preserve"> PAGE </w:instrText>
    </w:r>
    <w:r w:rsidR="00544E97" w:rsidRPr="001D1A3F">
      <w:rPr>
        <w:b/>
        <w:sz w:val="16"/>
        <w:szCs w:val="16"/>
      </w:rPr>
      <w:fldChar w:fldCharType="separate"/>
    </w:r>
    <w:r w:rsidR="0030173F">
      <w:rPr>
        <w:b/>
        <w:noProof/>
        <w:sz w:val="16"/>
        <w:szCs w:val="16"/>
      </w:rPr>
      <w:t>3</w:t>
    </w:r>
    <w:r w:rsidR="00544E97" w:rsidRPr="001D1A3F">
      <w:rPr>
        <w:b/>
        <w:sz w:val="16"/>
        <w:szCs w:val="16"/>
      </w:rPr>
      <w:fldChar w:fldCharType="end"/>
    </w:r>
    <w:r w:rsidRPr="001D1A3F">
      <w:rPr>
        <w:sz w:val="16"/>
        <w:szCs w:val="16"/>
      </w:rPr>
      <w:t xml:space="preserve"> of </w:t>
    </w:r>
    <w:r w:rsidR="00544E97" w:rsidRPr="001D1A3F">
      <w:rPr>
        <w:b/>
        <w:sz w:val="16"/>
        <w:szCs w:val="16"/>
      </w:rPr>
      <w:fldChar w:fldCharType="begin"/>
    </w:r>
    <w:r w:rsidRPr="001D1A3F">
      <w:rPr>
        <w:b/>
        <w:sz w:val="16"/>
        <w:szCs w:val="16"/>
      </w:rPr>
      <w:instrText xml:space="preserve"> NUMPAGES  </w:instrText>
    </w:r>
    <w:r w:rsidR="00544E97" w:rsidRPr="001D1A3F">
      <w:rPr>
        <w:b/>
        <w:sz w:val="16"/>
        <w:szCs w:val="16"/>
      </w:rPr>
      <w:fldChar w:fldCharType="separate"/>
    </w:r>
    <w:r w:rsidR="0030173F">
      <w:rPr>
        <w:b/>
        <w:noProof/>
        <w:sz w:val="16"/>
        <w:szCs w:val="16"/>
      </w:rPr>
      <w:t>3</w:t>
    </w:r>
    <w:r w:rsidR="00544E97" w:rsidRPr="001D1A3F">
      <w:rPr>
        <w:b/>
        <w:sz w:val="16"/>
        <w:szCs w:val="16"/>
      </w:rPr>
      <w:fldChar w:fldCharType="end"/>
    </w:r>
  </w:p>
  <w:p w14:paraId="2000A7B0" w14:textId="77777777" w:rsidR="00B23FAF" w:rsidRPr="00373C09" w:rsidRDefault="00B23FAF" w:rsidP="00373C09">
    <w:pPr>
      <w:pStyle w:val="Footer"/>
      <w:jc w:val="cen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7E50C" w14:textId="77777777" w:rsidR="00EC4955" w:rsidRDefault="00EC4955">
      <w:r>
        <w:separator/>
      </w:r>
    </w:p>
  </w:footnote>
  <w:footnote w:type="continuationSeparator" w:id="0">
    <w:p w14:paraId="5F18D79B" w14:textId="77777777" w:rsidR="00EC4955" w:rsidRDefault="00EC4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2C3F" w14:textId="20E76FC9" w:rsidR="00301FA9" w:rsidRDefault="00301FA9" w:rsidP="00301FA9">
    <w:pPr>
      <w:pStyle w:val="Header"/>
      <w:jc w:val="right"/>
    </w:pPr>
    <w:r>
      <w:rPr>
        <w:noProof/>
      </w:rPr>
      <w:drawing>
        <wp:inline distT="0" distB="0" distL="0" distR="0" wp14:anchorId="69B840D8" wp14:editId="5C9C7B9A">
          <wp:extent cx="1257300" cy="509905"/>
          <wp:effectExtent l="0" t="0" r="0" b="4445"/>
          <wp:docPr id="971083785" name="Picture 971083785" descr="A picture containing text,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083785" name="Picture 971083785" descr="A picture containing text, sign, dark&#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57300" cy="509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ED6673"/>
    <w:multiLevelType w:val="hybridMultilevel"/>
    <w:tmpl w:val="665ACF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F1435B"/>
    <w:multiLevelType w:val="hybridMultilevel"/>
    <w:tmpl w:val="521AC2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E5DD35"/>
    <w:multiLevelType w:val="hybridMultilevel"/>
    <w:tmpl w:val="AAC786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155F34"/>
    <w:multiLevelType w:val="singleLevel"/>
    <w:tmpl w:val="227C579A"/>
    <w:lvl w:ilvl="0">
      <w:start w:val="6"/>
      <w:numFmt w:val="decimal"/>
      <w:lvlText w:val="%1."/>
      <w:lvlJc w:val="left"/>
      <w:pPr>
        <w:tabs>
          <w:tab w:val="num" w:pos="720"/>
        </w:tabs>
        <w:ind w:left="720" w:hanging="720"/>
      </w:pPr>
      <w:rPr>
        <w:b/>
      </w:rPr>
    </w:lvl>
  </w:abstractNum>
  <w:abstractNum w:abstractNumId="4" w15:restartNumberingAfterBreak="0">
    <w:nsid w:val="0A2B4F1A"/>
    <w:multiLevelType w:val="multilevel"/>
    <w:tmpl w:val="5B962702"/>
    <w:lvl w:ilvl="0">
      <w:start w:val="3"/>
      <w:numFmt w:val="decimal"/>
      <w:pStyle w:val="Heading1"/>
      <w:lvlText w:val="%1"/>
      <w:lvlJc w:val="left"/>
      <w:pPr>
        <w:tabs>
          <w:tab w:val="num" w:pos="720"/>
        </w:tabs>
        <w:ind w:left="720" w:hanging="720"/>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5" w15:restartNumberingAfterBreak="0">
    <w:nsid w:val="0AC726D3"/>
    <w:multiLevelType w:val="singleLevel"/>
    <w:tmpl w:val="6CAA2030"/>
    <w:lvl w:ilvl="0">
      <w:start w:val="4"/>
      <w:numFmt w:val="decimal"/>
      <w:lvlText w:val="%1."/>
      <w:lvlJc w:val="left"/>
      <w:pPr>
        <w:tabs>
          <w:tab w:val="num" w:pos="360"/>
        </w:tabs>
        <w:ind w:left="360" w:hanging="360"/>
      </w:pPr>
    </w:lvl>
  </w:abstractNum>
  <w:abstractNum w:abstractNumId="6" w15:restartNumberingAfterBreak="0">
    <w:nsid w:val="0B7D91A0"/>
    <w:multiLevelType w:val="hybridMultilevel"/>
    <w:tmpl w:val="678BC1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E4C2372"/>
    <w:multiLevelType w:val="multilevel"/>
    <w:tmpl w:val="2E82A644"/>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8" w15:restartNumberingAfterBreak="0">
    <w:nsid w:val="0FFC5DE9"/>
    <w:multiLevelType w:val="hybridMultilevel"/>
    <w:tmpl w:val="12382FC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10216FFB"/>
    <w:multiLevelType w:val="singleLevel"/>
    <w:tmpl w:val="A2563F4E"/>
    <w:lvl w:ilvl="0">
      <w:start w:val="5"/>
      <w:numFmt w:val="decimal"/>
      <w:lvlText w:val="%1."/>
      <w:lvlJc w:val="left"/>
      <w:pPr>
        <w:tabs>
          <w:tab w:val="num" w:pos="705"/>
        </w:tabs>
        <w:ind w:left="705" w:hanging="705"/>
      </w:pPr>
      <w:rPr>
        <w:b/>
      </w:rPr>
    </w:lvl>
  </w:abstractNum>
  <w:abstractNum w:abstractNumId="10" w15:restartNumberingAfterBreak="0">
    <w:nsid w:val="1955026A"/>
    <w:multiLevelType w:val="hybridMultilevel"/>
    <w:tmpl w:val="09FA1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539FC3"/>
    <w:multiLevelType w:val="hybridMultilevel"/>
    <w:tmpl w:val="17EBB4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0EF46A1"/>
    <w:multiLevelType w:val="multilevel"/>
    <w:tmpl w:val="BA1EC9A4"/>
    <w:lvl w:ilvl="0">
      <w:start w:val="3"/>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3" w15:restartNumberingAfterBreak="0">
    <w:nsid w:val="46C254A5"/>
    <w:multiLevelType w:val="hybridMultilevel"/>
    <w:tmpl w:val="ECE2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7B2BEF"/>
    <w:multiLevelType w:val="multilevel"/>
    <w:tmpl w:val="77EACAF0"/>
    <w:lvl w:ilvl="0">
      <w:start w:val="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5" w15:restartNumberingAfterBreak="0">
    <w:nsid w:val="52BD6A8D"/>
    <w:multiLevelType w:val="multilevel"/>
    <w:tmpl w:val="ECAAF2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291397"/>
    <w:multiLevelType w:val="multilevel"/>
    <w:tmpl w:val="59CC3A60"/>
    <w:lvl w:ilvl="0">
      <w:start w:val="6"/>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15:restartNumberingAfterBreak="0">
    <w:nsid w:val="67782147"/>
    <w:multiLevelType w:val="multilevel"/>
    <w:tmpl w:val="CF76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0C0D03"/>
    <w:multiLevelType w:val="multilevel"/>
    <w:tmpl w:val="A890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3B320B"/>
    <w:multiLevelType w:val="multilevel"/>
    <w:tmpl w:val="40B010F4"/>
    <w:lvl w:ilvl="0">
      <w:start w:val="4"/>
      <w:numFmt w:val="decimal"/>
      <w:lvlText w:val="%1"/>
      <w:lvlJc w:val="left"/>
      <w:pPr>
        <w:tabs>
          <w:tab w:val="num" w:pos="360"/>
        </w:tabs>
        <w:ind w:left="36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0" w15:restartNumberingAfterBreak="0">
    <w:nsid w:val="7E9FB595"/>
    <w:multiLevelType w:val="hybridMultilevel"/>
    <w:tmpl w:val="737D39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92664515">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9128625">
    <w:abstractNumId w:val="9"/>
    <w:lvlOverride w:ilvl="0">
      <w:startOverride w:val="5"/>
    </w:lvlOverride>
  </w:num>
  <w:num w:numId="3" w16cid:durableId="1667661647">
    <w:abstractNumId w:val="3"/>
    <w:lvlOverride w:ilvl="0">
      <w:startOverride w:val="6"/>
    </w:lvlOverride>
  </w:num>
  <w:num w:numId="4" w16cid:durableId="10953253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066448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6185402">
    <w:abstractNumId w:val="5"/>
    <w:lvlOverride w:ilvl="0">
      <w:startOverride w:val="4"/>
    </w:lvlOverride>
  </w:num>
  <w:num w:numId="7" w16cid:durableId="61946081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7870774">
    <w:abstractNumId w:val="19"/>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9455849">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28084">
    <w:abstractNumId w:val="1"/>
  </w:num>
  <w:num w:numId="11" w16cid:durableId="1594509044">
    <w:abstractNumId w:val="0"/>
  </w:num>
  <w:num w:numId="12" w16cid:durableId="1574974338">
    <w:abstractNumId w:val="11"/>
  </w:num>
  <w:num w:numId="13" w16cid:durableId="1292438712">
    <w:abstractNumId w:val="6"/>
  </w:num>
  <w:num w:numId="14" w16cid:durableId="1569458745">
    <w:abstractNumId w:val="2"/>
  </w:num>
  <w:num w:numId="15" w16cid:durableId="1208301042">
    <w:abstractNumId w:val="20"/>
  </w:num>
  <w:num w:numId="16" w16cid:durableId="2139955937">
    <w:abstractNumId w:val="8"/>
  </w:num>
  <w:num w:numId="17" w16cid:durableId="1414282214">
    <w:abstractNumId w:val="15"/>
  </w:num>
  <w:num w:numId="18" w16cid:durableId="1963028269">
    <w:abstractNumId w:val="10"/>
  </w:num>
  <w:num w:numId="19" w16cid:durableId="1502157855">
    <w:abstractNumId w:val="13"/>
  </w:num>
  <w:num w:numId="20" w16cid:durableId="750202316">
    <w:abstractNumId w:val="18"/>
  </w:num>
  <w:num w:numId="21" w16cid:durableId="11374541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AE7"/>
    <w:rsid w:val="0004255E"/>
    <w:rsid w:val="000507FC"/>
    <w:rsid w:val="000B0CE9"/>
    <w:rsid w:val="000B2459"/>
    <w:rsid w:val="000B449B"/>
    <w:rsid w:val="000C4C4D"/>
    <w:rsid w:val="00111D48"/>
    <w:rsid w:val="00136C46"/>
    <w:rsid w:val="00157566"/>
    <w:rsid w:val="00162ED4"/>
    <w:rsid w:val="00181726"/>
    <w:rsid w:val="001A554F"/>
    <w:rsid w:val="001E720A"/>
    <w:rsid w:val="001F33CB"/>
    <w:rsid w:val="002610A9"/>
    <w:rsid w:val="00291B6A"/>
    <w:rsid w:val="0029230A"/>
    <w:rsid w:val="00292A76"/>
    <w:rsid w:val="002942C6"/>
    <w:rsid w:val="00297304"/>
    <w:rsid w:val="002C4699"/>
    <w:rsid w:val="002C4D72"/>
    <w:rsid w:val="002D5CCB"/>
    <w:rsid w:val="0030173F"/>
    <w:rsid w:val="00301FA9"/>
    <w:rsid w:val="00320110"/>
    <w:rsid w:val="00337816"/>
    <w:rsid w:val="003455A8"/>
    <w:rsid w:val="003608E4"/>
    <w:rsid w:val="00373C09"/>
    <w:rsid w:val="00376688"/>
    <w:rsid w:val="0037789D"/>
    <w:rsid w:val="003805CC"/>
    <w:rsid w:val="003900E3"/>
    <w:rsid w:val="003F4893"/>
    <w:rsid w:val="0041557E"/>
    <w:rsid w:val="00416A9B"/>
    <w:rsid w:val="004260DC"/>
    <w:rsid w:val="0044166B"/>
    <w:rsid w:val="004513F8"/>
    <w:rsid w:val="004819C5"/>
    <w:rsid w:val="004823E9"/>
    <w:rsid w:val="004A07CE"/>
    <w:rsid w:val="004A3C1C"/>
    <w:rsid w:val="004E016A"/>
    <w:rsid w:val="00544E97"/>
    <w:rsid w:val="00571473"/>
    <w:rsid w:val="00575F6F"/>
    <w:rsid w:val="005A1675"/>
    <w:rsid w:val="005C0EC9"/>
    <w:rsid w:val="0063684D"/>
    <w:rsid w:val="00673BC9"/>
    <w:rsid w:val="00676BC3"/>
    <w:rsid w:val="00693040"/>
    <w:rsid w:val="006B0CEB"/>
    <w:rsid w:val="006D09CB"/>
    <w:rsid w:val="006E43C5"/>
    <w:rsid w:val="00723A60"/>
    <w:rsid w:val="00740A36"/>
    <w:rsid w:val="007444BD"/>
    <w:rsid w:val="00752FE6"/>
    <w:rsid w:val="0076141B"/>
    <w:rsid w:val="00773FD1"/>
    <w:rsid w:val="007A6E50"/>
    <w:rsid w:val="007C36B8"/>
    <w:rsid w:val="007D5982"/>
    <w:rsid w:val="0085075C"/>
    <w:rsid w:val="0087747A"/>
    <w:rsid w:val="008851E3"/>
    <w:rsid w:val="008911A7"/>
    <w:rsid w:val="008A0A50"/>
    <w:rsid w:val="008A2AFE"/>
    <w:rsid w:val="008B0685"/>
    <w:rsid w:val="008B530E"/>
    <w:rsid w:val="008C3A40"/>
    <w:rsid w:val="008E5C19"/>
    <w:rsid w:val="008F7AC2"/>
    <w:rsid w:val="009037AF"/>
    <w:rsid w:val="00904388"/>
    <w:rsid w:val="00911AE7"/>
    <w:rsid w:val="00970389"/>
    <w:rsid w:val="009A2EE6"/>
    <w:rsid w:val="009A3AF3"/>
    <w:rsid w:val="009A6B7F"/>
    <w:rsid w:val="00A06121"/>
    <w:rsid w:val="00A172E6"/>
    <w:rsid w:val="00A31C13"/>
    <w:rsid w:val="00A86595"/>
    <w:rsid w:val="00A90670"/>
    <w:rsid w:val="00AF0419"/>
    <w:rsid w:val="00B129B3"/>
    <w:rsid w:val="00B23FAF"/>
    <w:rsid w:val="00B704FC"/>
    <w:rsid w:val="00B76EA6"/>
    <w:rsid w:val="00B77472"/>
    <w:rsid w:val="00B90BF4"/>
    <w:rsid w:val="00B9626F"/>
    <w:rsid w:val="00BA0FA0"/>
    <w:rsid w:val="00BA6BCC"/>
    <w:rsid w:val="00BB1A8B"/>
    <w:rsid w:val="00BB69C4"/>
    <w:rsid w:val="00BE403D"/>
    <w:rsid w:val="00C71A48"/>
    <w:rsid w:val="00C806CD"/>
    <w:rsid w:val="00C80B5F"/>
    <w:rsid w:val="00C90BE1"/>
    <w:rsid w:val="00C9645A"/>
    <w:rsid w:val="00CA0BAF"/>
    <w:rsid w:val="00CB33BA"/>
    <w:rsid w:val="00CB34E6"/>
    <w:rsid w:val="00CD71FD"/>
    <w:rsid w:val="00CF4251"/>
    <w:rsid w:val="00D45EB8"/>
    <w:rsid w:val="00D5257B"/>
    <w:rsid w:val="00D6196F"/>
    <w:rsid w:val="00D627EF"/>
    <w:rsid w:val="00D7157A"/>
    <w:rsid w:val="00D771CD"/>
    <w:rsid w:val="00D82C55"/>
    <w:rsid w:val="00D8748D"/>
    <w:rsid w:val="00DB7CC9"/>
    <w:rsid w:val="00E14746"/>
    <w:rsid w:val="00E41CF5"/>
    <w:rsid w:val="00E7174E"/>
    <w:rsid w:val="00E95827"/>
    <w:rsid w:val="00EB7CF0"/>
    <w:rsid w:val="00EC4955"/>
    <w:rsid w:val="00ED3C26"/>
    <w:rsid w:val="00EE2742"/>
    <w:rsid w:val="00EE42CC"/>
    <w:rsid w:val="00EE4B04"/>
    <w:rsid w:val="00EE6AC0"/>
    <w:rsid w:val="00EE72A6"/>
    <w:rsid w:val="00F143ED"/>
    <w:rsid w:val="00F21B4E"/>
    <w:rsid w:val="00F2480E"/>
    <w:rsid w:val="00F527D7"/>
    <w:rsid w:val="00F8012D"/>
    <w:rsid w:val="00F92B4D"/>
    <w:rsid w:val="00FA5864"/>
    <w:rsid w:val="00FD42F7"/>
    <w:rsid w:val="00FF05AF"/>
    <w:rsid w:val="12C6FECD"/>
    <w:rsid w:val="322B1602"/>
    <w:rsid w:val="7C448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906765"/>
  <w15:docId w15:val="{FAD09CAB-5601-4CC7-9010-539E3946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1B4E"/>
    <w:rPr>
      <w:sz w:val="24"/>
      <w:szCs w:val="24"/>
      <w:lang w:eastAsia="en-US"/>
    </w:rPr>
  </w:style>
  <w:style w:type="paragraph" w:styleId="Heading1">
    <w:name w:val="heading 1"/>
    <w:basedOn w:val="Normal"/>
    <w:next w:val="Normal"/>
    <w:qFormat/>
    <w:rsid w:val="007A6E50"/>
    <w:pPr>
      <w:keepNext/>
      <w:numPr>
        <w:numId w:val="1"/>
      </w:numPr>
      <w:jc w:val="both"/>
      <w:outlineLvl w:val="0"/>
    </w:pPr>
    <w:rPr>
      <w:b/>
      <w:sz w:val="20"/>
      <w:szCs w:val="20"/>
    </w:rPr>
  </w:style>
  <w:style w:type="paragraph" w:styleId="Heading2">
    <w:name w:val="heading 2"/>
    <w:basedOn w:val="Normal"/>
    <w:next w:val="Normal"/>
    <w:qFormat/>
    <w:rsid w:val="007A6E50"/>
    <w:pPr>
      <w:keepNext/>
      <w:ind w:left="720" w:hanging="720"/>
      <w:jc w:val="both"/>
      <w:outlineLvl w:val="1"/>
    </w:pPr>
    <w:rPr>
      <w:b/>
      <w:szCs w:val="20"/>
      <w:u w:val="single"/>
    </w:rPr>
  </w:style>
  <w:style w:type="paragraph" w:styleId="Heading3">
    <w:name w:val="heading 3"/>
    <w:basedOn w:val="Normal"/>
    <w:next w:val="Normal"/>
    <w:qFormat/>
    <w:rsid w:val="007A6E50"/>
    <w:pPr>
      <w:keepNext/>
      <w:spacing w:before="240" w:after="60"/>
      <w:outlineLvl w:val="2"/>
    </w:pPr>
    <w:rPr>
      <w:rFonts w:ascii="Arial" w:hAnsi="Arial" w:cs="Arial"/>
      <w:b/>
      <w:bCs/>
      <w:sz w:val="26"/>
      <w:szCs w:val="26"/>
    </w:rPr>
  </w:style>
  <w:style w:type="paragraph" w:styleId="Heading4">
    <w:name w:val="heading 4"/>
    <w:basedOn w:val="Normal"/>
    <w:next w:val="Normal"/>
    <w:qFormat/>
    <w:rsid w:val="007A6E50"/>
    <w:pPr>
      <w:keepNext/>
      <w:outlineLvl w:val="3"/>
    </w:pPr>
    <w:rPr>
      <w:b/>
      <w:sz w:val="28"/>
      <w:szCs w:val="20"/>
    </w:rPr>
  </w:style>
  <w:style w:type="paragraph" w:styleId="Heading5">
    <w:name w:val="heading 5"/>
    <w:basedOn w:val="Normal"/>
    <w:next w:val="Normal"/>
    <w:qFormat/>
    <w:rsid w:val="007A6E50"/>
    <w:pPr>
      <w:keepNext/>
      <w:jc w:val="center"/>
      <w:outlineLvl w:val="4"/>
    </w:pPr>
    <w:rPr>
      <w:b/>
      <w:sz w:val="52"/>
      <w:szCs w:val="20"/>
    </w:rPr>
  </w:style>
  <w:style w:type="paragraph" w:styleId="Heading6">
    <w:name w:val="heading 6"/>
    <w:basedOn w:val="Normal"/>
    <w:next w:val="Normal"/>
    <w:qFormat/>
    <w:rsid w:val="007A6E50"/>
    <w:pPr>
      <w:keepNext/>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1AE7"/>
    <w:rPr>
      <w:color w:val="0000FF"/>
      <w:u w:val="single"/>
    </w:rPr>
  </w:style>
  <w:style w:type="paragraph" w:styleId="NormalWeb">
    <w:name w:val="Normal (Web)"/>
    <w:basedOn w:val="Normal"/>
    <w:uiPriority w:val="99"/>
    <w:rsid w:val="00911AE7"/>
    <w:pPr>
      <w:spacing w:before="100" w:beforeAutospacing="1" w:after="100" w:afterAutospacing="1"/>
    </w:pPr>
    <w:rPr>
      <w:color w:val="000000"/>
    </w:rPr>
  </w:style>
  <w:style w:type="paragraph" w:styleId="BodyText">
    <w:name w:val="Body Text"/>
    <w:basedOn w:val="Normal"/>
    <w:rsid w:val="007A6E50"/>
    <w:rPr>
      <w:szCs w:val="20"/>
    </w:rPr>
  </w:style>
  <w:style w:type="paragraph" w:styleId="BodyTextIndent">
    <w:name w:val="Body Text Indent"/>
    <w:basedOn w:val="Normal"/>
    <w:rsid w:val="007A6E50"/>
    <w:pPr>
      <w:ind w:left="1440" w:hanging="720"/>
      <w:jc w:val="both"/>
    </w:pPr>
    <w:rPr>
      <w:sz w:val="20"/>
      <w:szCs w:val="20"/>
    </w:rPr>
  </w:style>
  <w:style w:type="paragraph" w:styleId="BodyTextIndent2">
    <w:name w:val="Body Text Indent 2"/>
    <w:basedOn w:val="Normal"/>
    <w:rsid w:val="007A6E50"/>
    <w:pPr>
      <w:ind w:left="1418"/>
      <w:jc w:val="both"/>
    </w:pPr>
    <w:rPr>
      <w:szCs w:val="20"/>
    </w:rPr>
  </w:style>
  <w:style w:type="paragraph" w:styleId="BodyTextIndent3">
    <w:name w:val="Body Text Indent 3"/>
    <w:basedOn w:val="Normal"/>
    <w:rsid w:val="007A6E50"/>
    <w:pPr>
      <w:ind w:left="1440" w:hanging="720"/>
      <w:jc w:val="both"/>
    </w:pPr>
    <w:rPr>
      <w:i/>
      <w:szCs w:val="20"/>
    </w:rPr>
  </w:style>
  <w:style w:type="paragraph" w:customStyle="1" w:styleId="Default">
    <w:name w:val="Default"/>
    <w:rsid w:val="007A6E50"/>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7A6E50"/>
    <w:rPr>
      <w:rFonts w:cs="Times New Roman"/>
      <w:color w:val="auto"/>
    </w:rPr>
  </w:style>
  <w:style w:type="paragraph" w:styleId="Subtitle">
    <w:name w:val="Subtitle"/>
    <w:basedOn w:val="Default"/>
    <w:next w:val="Default"/>
    <w:qFormat/>
    <w:rsid w:val="007A6E50"/>
    <w:rPr>
      <w:rFonts w:cs="Times New Roman"/>
      <w:color w:val="auto"/>
    </w:rPr>
  </w:style>
  <w:style w:type="paragraph" w:styleId="Footer">
    <w:name w:val="footer"/>
    <w:basedOn w:val="Default"/>
    <w:next w:val="Default"/>
    <w:link w:val="FooterChar"/>
    <w:uiPriority w:val="99"/>
    <w:rsid w:val="007A6E50"/>
    <w:rPr>
      <w:rFonts w:cs="Times New Roman"/>
      <w:color w:val="auto"/>
    </w:rPr>
  </w:style>
  <w:style w:type="table" w:styleId="TableGrid">
    <w:name w:val="Table Grid"/>
    <w:basedOn w:val="TableNormal"/>
    <w:rsid w:val="00B23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23FAF"/>
    <w:pPr>
      <w:tabs>
        <w:tab w:val="center" w:pos="4320"/>
        <w:tab w:val="right" w:pos="8640"/>
      </w:tabs>
    </w:pPr>
  </w:style>
  <w:style w:type="character" w:customStyle="1" w:styleId="FooterChar">
    <w:name w:val="Footer Char"/>
    <w:basedOn w:val="DefaultParagraphFont"/>
    <w:link w:val="Footer"/>
    <w:uiPriority w:val="99"/>
    <w:rsid w:val="00373C09"/>
    <w:rPr>
      <w:rFonts w:ascii="Arial" w:hAnsi="Arial"/>
      <w:sz w:val="24"/>
      <w:szCs w:val="24"/>
    </w:rPr>
  </w:style>
  <w:style w:type="paragraph" w:styleId="BalloonText">
    <w:name w:val="Balloon Text"/>
    <w:basedOn w:val="Normal"/>
    <w:link w:val="BalloonTextChar"/>
    <w:rsid w:val="00373C09"/>
    <w:rPr>
      <w:rFonts w:ascii="Tahoma" w:hAnsi="Tahoma" w:cs="Tahoma"/>
      <w:sz w:val="16"/>
      <w:szCs w:val="16"/>
    </w:rPr>
  </w:style>
  <w:style w:type="character" w:customStyle="1" w:styleId="BalloonTextChar">
    <w:name w:val="Balloon Text Char"/>
    <w:basedOn w:val="DefaultParagraphFont"/>
    <w:link w:val="BalloonText"/>
    <w:rsid w:val="00373C09"/>
    <w:rPr>
      <w:rFonts w:ascii="Tahoma" w:hAnsi="Tahoma" w:cs="Tahoma"/>
      <w:sz w:val="16"/>
      <w:szCs w:val="16"/>
    </w:rPr>
  </w:style>
  <w:style w:type="paragraph" w:styleId="ListParagraph">
    <w:name w:val="List Paragraph"/>
    <w:basedOn w:val="Normal"/>
    <w:uiPriority w:val="34"/>
    <w:qFormat/>
    <w:rsid w:val="00E41CF5"/>
    <w:pPr>
      <w:ind w:left="720"/>
      <w:contextualSpacing/>
    </w:pPr>
  </w:style>
  <w:style w:type="character" w:styleId="FollowedHyperlink">
    <w:name w:val="FollowedHyperlink"/>
    <w:basedOn w:val="DefaultParagraphFont"/>
    <w:semiHidden/>
    <w:unhideWhenUsed/>
    <w:rsid w:val="008911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466493">
      <w:bodyDiv w:val="1"/>
      <w:marLeft w:val="0"/>
      <w:marRight w:val="0"/>
      <w:marTop w:val="0"/>
      <w:marBottom w:val="0"/>
      <w:divBdr>
        <w:top w:val="none" w:sz="0" w:space="0" w:color="auto"/>
        <w:left w:val="none" w:sz="0" w:space="0" w:color="auto"/>
        <w:bottom w:val="none" w:sz="0" w:space="0" w:color="auto"/>
        <w:right w:val="none" w:sz="0" w:space="0" w:color="auto"/>
      </w:divBdr>
    </w:div>
    <w:div w:id="1179395357">
      <w:bodyDiv w:val="1"/>
      <w:marLeft w:val="0"/>
      <w:marRight w:val="0"/>
      <w:marTop w:val="0"/>
      <w:marBottom w:val="0"/>
      <w:divBdr>
        <w:top w:val="none" w:sz="0" w:space="0" w:color="auto"/>
        <w:left w:val="none" w:sz="0" w:space="0" w:color="auto"/>
        <w:bottom w:val="none" w:sz="0" w:space="0" w:color="auto"/>
        <w:right w:val="none" w:sz="0" w:space="0" w:color="auto"/>
      </w:divBdr>
    </w:div>
    <w:div w:id="1553810228">
      <w:bodyDiv w:val="1"/>
      <w:marLeft w:val="0"/>
      <w:marRight w:val="0"/>
      <w:marTop w:val="0"/>
      <w:marBottom w:val="0"/>
      <w:divBdr>
        <w:top w:val="none" w:sz="0" w:space="0" w:color="auto"/>
        <w:left w:val="none" w:sz="0" w:space="0" w:color="auto"/>
        <w:bottom w:val="none" w:sz="0" w:space="0" w:color="auto"/>
        <w:right w:val="none" w:sz="0" w:space="0" w:color="auto"/>
      </w:divBdr>
      <w:divsChild>
        <w:div w:id="131560485">
          <w:marLeft w:val="0"/>
          <w:marRight w:val="0"/>
          <w:marTop w:val="450"/>
          <w:marBottom w:val="450"/>
          <w:divBdr>
            <w:top w:val="none" w:sz="0" w:space="0" w:color="auto"/>
            <w:left w:val="single" w:sz="6" w:space="11" w:color="B1B4B6"/>
            <w:bottom w:val="none" w:sz="0" w:space="0" w:color="auto"/>
            <w:right w:val="none" w:sz="0" w:space="0" w:color="auto"/>
          </w:divBdr>
          <w:divsChild>
            <w:div w:id="3605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aints.esfa@education.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20complaints.esfa@education.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how-esfa-handles-whistleblowing-disclosur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9EF874EDA4D24EA48D0A4C7F800A0E" ma:contentTypeVersion="11" ma:contentTypeDescription="Create a new document." ma:contentTypeScope="" ma:versionID="f1d4bbf461930de89d5fd1ab4e231cce">
  <xsd:schema xmlns:xsd="http://www.w3.org/2001/XMLSchema" xmlns:xs="http://www.w3.org/2001/XMLSchema" xmlns:p="http://schemas.microsoft.com/office/2006/metadata/properties" xmlns:ns2="9dbb3748-880b-4b71-87df-d8902854dbc8" xmlns:ns3="9341d414-d451-4c5a-8e9a-bdb4b98ac1cb" targetNamespace="http://schemas.microsoft.com/office/2006/metadata/properties" ma:root="true" ma:fieldsID="2d49f4e1a84a0e8443d4459c75c301d3" ns2:_="" ns3:_="">
    <xsd:import namespace="9dbb3748-880b-4b71-87df-d8902854dbc8"/>
    <xsd:import namespace="9341d414-d451-4c5a-8e9a-bdb4b98ac1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b3748-880b-4b71-87df-d8902854d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1d414-d451-4c5a-8e9a-bdb4b98ac1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B45B7-77D2-4A22-988E-5FD4657FF8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5AB4BC-D898-4AAB-8085-5EF3DBCD290A}">
  <ds:schemaRefs>
    <ds:schemaRef ds:uri="http://schemas.microsoft.com/sharepoint/v3/contenttype/forms"/>
  </ds:schemaRefs>
</ds:datastoreItem>
</file>

<file path=customXml/itemProps3.xml><?xml version="1.0" encoding="utf-8"?>
<ds:datastoreItem xmlns:ds="http://schemas.openxmlformats.org/officeDocument/2006/customXml" ds:itemID="{A892EDFF-7FA0-40A4-8BEA-3C02B7659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b3748-880b-4b71-87df-d8902854dbc8"/>
    <ds:schemaRef ds:uri="9341d414-d451-4c5a-8e9a-bdb4b98ac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E70991-2AA8-4044-85B9-D7F5294E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5801</Characters>
  <Application>Microsoft Office Word</Application>
  <DocSecurity>0</DocSecurity>
  <Lines>48</Lines>
  <Paragraphs>13</Paragraphs>
  <ScaleCrop>false</ScaleCrop>
  <Company>Northern Care Training Ltd</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coulby</dc:creator>
  <cp:lastModifiedBy>Jennifer Mills</cp:lastModifiedBy>
  <cp:revision>2</cp:revision>
  <cp:lastPrinted>2021-05-04T10:00:00Z</cp:lastPrinted>
  <dcterms:created xsi:type="dcterms:W3CDTF">2022-07-08T06:49:00Z</dcterms:created>
  <dcterms:modified xsi:type="dcterms:W3CDTF">2022-07-08T06:49:00Z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0x0101001C9EF874EDA4D24EA48D0A4C7F800A0E</vt:lpwstr>
  </property>
</Properties>
</file>